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4"/>
        </w:rPr>
        <w:t xml:space="preserve">FORM 10-Q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5966" w:type="dxa"/>
        <w:jc w:val="center"/>
        <w:tblInd w:w="0" w:type="dxa"/>
        <w:tblLayout w:type="fixed"/>
        <w:tblCellMar>
          <w:top w:w="28" w:type="dxa"/>
          <w:left w:w="28" w:type="dxa"/>
          <w:bottom w:w="28" w:type="dxa"/>
          <w:right w:w="28" w:type="dxa"/>
        </w:tblCellMar>
      </w:tblPr>
      <w:tblGrid>
        <w:gridCol w:w="124"/>
        <w:gridCol w:w="109"/>
        <w:gridCol w:w="109"/>
        <w:gridCol w:w="1645"/>
        <w:gridCol w:w="1645"/>
        <w:gridCol w:w="2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w:t>
              <w:br/>
              <w:t>OF THE SECURITIES EXCHANGE ACT OF 1934</w:t>
            </w:r>
          </w:p>
        </w:tc>
      </w:tr>
    </w:tbl>
    <w:tbl>
      <w:tblPr>
        <w:tblW w:w="4328" w:type="dxa"/>
        <w:jc w:val="center"/>
        <w:tblInd w:w="0" w:type="dxa"/>
        <w:tblLayout w:type="fixed"/>
        <w:tblCellMar>
          <w:top w:w="28" w:type="dxa"/>
          <w:left w:w="28" w:type="dxa"/>
          <w:bottom w:w="28" w:type="dxa"/>
          <w:right w:w="28" w:type="dxa"/>
        </w:tblCellMar>
      </w:tblPr>
      <w:tblGrid>
        <w:gridCol w:w="124"/>
        <w:gridCol w:w="109"/>
        <w:gridCol w:w="109"/>
        <w:gridCol w:w="779"/>
        <w:gridCol w:w="779"/>
        <w:gridCol w:w="782"/>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quarterly period ended: </w:t>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16"/>
        </w:rPr>
        <w:t>Or</w:t>
      </w:r>
    </w:p>
    <w:tbl>
      <w:tblPr>
        <w:tblW w:w="5967" w:type="dxa"/>
        <w:jc w:val="center"/>
        <w:tblInd w:w="0" w:type="dxa"/>
        <w:tblLayout w:type="fixed"/>
        <w:tblCellMar>
          <w:top w:w="28" w:type="dxa"/>
          <w:left w:w="28" w:type="dxa"/>
          <w:bottom w:w="28" w:type="dxa"/>
          <w:right w:w="28" w:type="dxa"/>
        </w:tblCellMar>
      </w:tblPr>
      <w:tblGrid>
        <w:gridCol w:w="124"/>
        <w:gridCol w:w="109"/>
        <w:gridCol w:w="109"/>
        <w:gridCol w:w="1647"/>
        <w:gridCol w:w="1647"/>
        <w:gridCol w:w="23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TRANSITION REPORT PURSUANT TO</w:t>
            </w:r>
            <w:r>
              <w:rPr>
                <w:color w:val="000000"/>
              </w:rPr>
              <w:t xml:space="preserve"> </w:t>
            </w:r>
            <w:r>
              <w:rPr>
                <w:rFonts w:ascii="Times New Roman;serif" w:hAnsi="Times New Roman;serif"/>
                <w:b/>
                <w:color w:val="000000"/>
                <w:sz w:val="20"/>
              </w:rPr>
              <w:t>SECTION 13 OR 15(d)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tc>
      </w:tr>
    </w:tbl>
    <w:tbl>
      <w:tblPr>
        <w:tblW w:w="3515"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109"/>
        <w:gridCol w:w="109"/>
        <w:gridCol w:w="109"/>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For the transition period from: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008" w:type="dxa"/>
        <w:jc w:val="left"/>
        <w:tblInd w:w="0" w:type="dxa"/>
        <w:tblLayout w:type="fixed"/>
        <w:tblCellMar>
          <w:top w:w="28" w:type="dxa"/>
          <w:left w:w="28" w:type="dxa"/>
          <w:bottom w:w="28" w:type="dxa"/>
          <w:right w:w="28" w:type="dxa"/>
        </w:tblCellMar>
      </w:tblPr>
      <w:tblGrid>
        <w:gridCol w:w="776"/>
        <w:gridCol w:w="682"/>
        <w:gridCol w:w="686"/>
        <w:gridCol w:w="294"/>
        <w:gridCol w:w="294"/>
        <w:gridCol w:w="296"/>
        <w:gridCol w:w="580"/>
        <w:gridCol w:w="580"/>
        <w:gridCol w:w="820"/>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Commission File Number:</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001-11954</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(Vornado Realty Trust)</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Commission File Number:</w:t>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001-34482</w:t>
            </w:r>
          </w:p>
        </w:tc>
        <w:tc>
          <w:tcPr>
            <w:tcW w:w="1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(Vornado Realty L.P.)</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Vornado Realty Trust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Vornado Realty L.P.</w:t>
      </w:r>
    </w:p>
    <w:tbl>
      <w:tblPr>
        <w:tblW w:w="4643" w:type="dxa"/>
        <w:jc w:val="center"/>
        <w:tblInd w:w="0" w:type="dxa"/>
        <w:tblLayout w:type="fixed"/>
        <w:tblCellMar>
          <w:top w:w="28" w:type="dxa"/>
          <w:left w:w="28" w:type="dxa"/>
          <w:bottom w:w="28" w:type="dxa"/>
          <w:right w:w="28" w:type="dxa"/>
        </w:tblCellMar>
      </w:tblPr>
      <w:tblGrid>
        <w:gridCol w:w="124"/>
        <w:gridCol w:w="109"/>
        <w:gridCol w:w="109"/>
        <w:gridCol w:w="1308"/>
        <w:gridCol w:w="1308"/>
        <w:gridCol w:w="131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val="false"/>
                <w:color w:val="000000"/>
                <w:sz w:val="16"/>
              </w:rPr>
            </w:pPr>
            <w:r>
              <w:rPr>
                <w:rFonts w:ascii="Times New Roman;serif" w:hAnsi="Times New Roman;serif"/>
                <w:b w:val="false"/>
                <w:color w:val="000000"/>
                <w:sz w:val="16"/>
              </w:rPr>
              <w:t>(Exact name of registrants as specified in their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17" w:type="dxa"/>
        <w:jc w:val="center"/>
        <w:tblInd w:w="0" w:type="dxa"/>
        <w:tblLayout w:type="fixed"/>
        <w:tblCellMar>
          <w:top w:w="28" w:type="dxa"/>
          <w:left w:w="28" w:type="dxa"/>
          <w:bottom w:w="28" w:type="dxa"/>
          <w:right w:w="28" w:type="dxa"/>
        </w:tblCellMar>
      </w:tblPr>
      <w:tblGrid>
        <w:gridCol w:w="663"/>
        <w:gridCol w:w="582"/>
        <w:gridCol w:w="584"/>
        <w:gridCol w:w="109"/>
        <w:gridCol w:w="109"/>
        <w:gridCol w:w="109"/>
        <w:gridCol w:w="1429"/>
        <w:gridCol w:w="1429"/>
        <w:gridCol w:w="1446"/>
        <w:gridCol w:w="109"/>
        <w:gridCol w:w="109"/>
        <w:gridCol w:w="109"/>
        <w:gridCol w:w="883"/>
        <w:gridCol w:w="883"/>
        <w:gridCol w:w="126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22-1657560</w:t>
            </w:r>
          </w:p>
        </w:tc>
      </w:tr>
      <w:tr>
        <w:trPr/>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Vornado Realty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13-3925979</w:t>
            </w:r>
          </w:p>
        </w:tc>
      </w:tr>
      <w:tr>
        <w:trPr/>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4168" w:type="dxa"/>
        <w:jc w:val="center"/>
        <w:tblInd w:w="0" w:type="dxa"/>
        <w:tblLayout w:type="fixed"/>
        <w:tblCellMar>
          <w:top w:w="28" w:type="dxa"/>
          <w:left w:w="28" w:type="dxa"/>
          <w:bottom w:w="28" w:type="dxa"/>
          <w:right w:w="28" w:type="dxa"/>
        </w:tblCellMar>
      </w:tblPr>
      <w:tblGrid>
        <w:gridCol w:w="623"/>
        <w:gridCol w:w="548"/>
        <w:gridCol w:w="553"/>
        <w:gridCol w:w="314"/>
        <w:gridCol w:w="314"/>
        <w:gridCol w:w="316"/>
        <w:gridCol w:w="299"/>
        <w:gridCol w:w="299"/>
        <w:gridCol w:w="301"/>
        <w:gridCol w:w="176"/>
        <w:gridCol w:w="176"/>
        <w:gridCol w:w="24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888 Seventh Avenue,</w:t>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New York,</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New York</w:t>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10019</w:t>
            </w:r>
          </w:p>
        </w:tc>
      </w:tr>
      <w:tr>
        <w:trPr/>
        <w:tc>
          <w:tcPr>
            <w:tcW w:w="416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tc>
      </w:tr>
    </w:tbl>
    <w:tbl>
      <w:tblPr>
        <w:tblW w:w="3897" w:type="dxa"/>
        <w:jc w:val="center"/>
        <w:tblInd w:w="0" w:type="dxa"/>
        <w:tblLayout w:type="fixed"/>
        <w:tblCellMar>
          <w:top w:w="28" w:type="dxa"/>
          <w:left w:w="28" w:type="dxa"/>
          <w:bottom w:w="28" w:type="dxa"/>
          <w:right w:w="28" w:type="dxa"/>
        </w:tblCellMar>
      </w:tblPr>
      <w:tblGrid>
        <w:gridCol w:w="531"/>
        <w:gridCol w:w="468"/>
        <w:gridCol w:w="473"/>
        <w:gridCol w:w="707"/>
        <w:gridCol w:w="707"/>
        <w:gridCol w:w="1011"/>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(212)</w:t>
            </w:r>
          </w:p>
        </w:tc>
        <w:tc>
          <w:tcPr>
            <w:tcW w:w="2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894-7000</w:t>
            </w:r>
          </w:p>
        </w:tc>
      </w:tr>
      <w:tr>
        <w:trPr/>
        <w:tc>
          <w:tcPr>
            <w:tcW w:w="38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p>
      <w:pPr>
        <w:pStyle w:val="TextBody"/>
        <w:bidi w:val="0"/>
        <w:spacing w:before="0" w:after="20"/>
        <w:jc w:val="left"/>
        <w:rPr/>
      </w:pPr>
      <w:r>
        <w:rPr/>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479"/>
        <w:gridCol w:w="421"/>
        <w:gridCol w:w="424"/>
        <w:gridCol w:w="109"/>
        <w:gridCol w:w="109"/>
        <w:gridCol w:w="109"/>
        <w:gridCol w:w="1625"/>
        <w:gridCol w:w="1396"/>
        <w:gridCol w:w="1404"/>
        <w:gridCol w:w="109"/>
        <w:gridCol w:w="109"/>
        <w:gridCol w:w="109"/>
        <w:gridCol w:w="394"/>
        <w:gridCol w:w="394"/>
        <w:gridCol w:w="396"/>
        <w:gridCol w:w="109"/>
        <w:gridCol w:w="109"/>
        <w:gridCol w:w="109"/>
        <w:gridCol w:w="669"/>
        <w:gridCol w:w="669"/>
        <w:gridCol w:w="953"/>
      </w:tblGrid>
      <w:tr>
        <w:trPr/>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 $.04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Cumulative Redeemable Preferred Shares of beneficial interest, liquidation preference $25.00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1" w:type="dxa"/>
            <w:gridSpan w:val="3"/>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5.40% Series 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VNO/PL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5.25% Series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VNO/PM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5.25% Series 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VNO/PN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4.45% Series 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VNO/PO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center"/>
        <w:rPr/>
      </w:pPr>
      <w:r>
        <w:rPr>
          <w:rFonts w:ascii="Times New Roman;serif" w:hAnsi="Times New Roman;serif"/>
          <w:b w:val="false"/>
          <w:color w:val="000000"/>
          <w:sz w:val="18"/>
        </w:rPr>
        <w:t>Vornado Realty Trust: Yes</w:t>
      </w:r>
      <w:r>
        <w:rPr>
          <w:color w:val="000000"/>
        </w:rPr>
        <w:t xml:space="preserve"> ☑   </w:t>
      </w:r>
      <w:r>
        <w:rPr>
          <w:rFonts w:ascii="Times New Roman;serif" w:hAnsi="Times New Roman;serif"/>
          <w:b w:val="false"/>
          <w:color w:val="000000"/>
          <w:sz w:val="18"/>
        </w:rPr>
        <w:t>No ☐    Vornado Realty L.P.: Yes</w:t>
      </w:r>
      <w:r>
        <w:rPr>
          <w:color w:val="000000"/>
        </w:rPr>
        <w:t xml:space="preserve"> ☑   </w:t>
      </w:r>
      <w:r>
        <w:rPr>
          <w:rFonts w:ascii="Times New Roman;serif" w:hAnsi="Times New Roman;serif"/>
          <w:b w:val="false"/>
          <w:color w:val="000000"/>
          <w:sz w:val="18"/>
        </w:rPr>
        <w:t>No ☐</w:t>
      </w: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erif" w:hAnsi="Times New Roman;serif"/>
          <w:b w:val="false"/>
          <w:color w:val="000000"/>
          <w:sz w:val="18"/>
        </w:rPr>
        <w:t>Vornado Realty Trust: Yes</w:t>
      </w:r>
      <w:r>
        <w:rPr>
          <w:color w:val="000000"/>
        </w:rPr>
        <w:t xml:space="preserve"> ☑   </w:t>
      </w:r>
      <w:r>
        <w:rPr>
          <w:rFonts w:ascii="Times New Roman;serif" w:hAnsi="Times New Roman;serif"/>
          <w:b w:val="false"/>
          <w:color w:val="000000"/>
          <w:sz w:val="18"/>
        </w:rPr>
        <w:t>No ☐</w:t>
      </w:r>
      <w:r>
        <w:rPr>
          <w:color w:val="000000"/>
        </w:rPr>
        <w:t xml:space="preserve">    </w:t>
      </w:r>
      <w:r>
        <w:rPr>
          <w:rFonts w:ascii="Times New Roman;serif" w:hAnsi="Times New Roman;serif"/>
          <w:b w:val="false"/>
          <w:color w:val="000000"/>
          <w:sz w:val="18"/>
        </w:rPr>
        <w:t>Vornado Realty L.P.: Yes</w:t>
      </w:r>
      <w:r>
        <w:rPr>
          <w:color w:val="000000"/>
        </w:rPr>
        <w:t xml:space="preserve"> ☑   </w:t>
      </w:r>
      <w:r>
        <w:rPr>
          <w:rFonts w:ascii="Times New Roman;serif" w:hAnsi="Times New Roman;serif"/>
          <w:b w:val="false"/>
          <w:color w:val="000000"/>
          <w:sz w:val="18"/>
        </w:rPr>
        <w:t>No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30"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584"/>
        <w:gridCol w:w="584"/>
        <w:gridCol w:w="586"/>
        <w:gridCol w:w="109"/>
        <w:gridCol w:w="109"/>
        <w:gridCol w:w="109"/>
        <w:gridCol w:w="109"/>
        <w:gridCol w:w="109"/>
        <w:gridCol w:w="109"/>
        <w:gridCol w:w="635"/>
        <w:gridCol w:w="635"/>
        <w:gridCol w:w="904"/>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bl>
    <w:tbl>
      <w:tblPr>
        <w:tblW w:w="5680"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584"/>
        <w:gridCol w:w="584"/>
        <w:gridCol w:w="586"/>
        <w:gridCol w:w="109"/>
        <w:gridCol w:w="109"/>
        <w:gridCol w:w="109"/>
        <w:gridCol w:w="109"/>
        <w:gridCol w:w="109"/>
        <w:gridCol w:w="109"/>
        <w:gridCol w:w="635"/>
        <w:gridCol w:w="635"/>
        <w:gridCol w:w="904"/>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Vornado Realty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center"/>
        <w:rPr/>
      </w:pPr>
      <w:r>
        <w:rPr>
          <w:rFonts w:ascii="Times New Roman;serif" w:hAnsi="Times New Roman;serif"/>
          <w:b w:val="false"/>
          <w:color w:val="000000"/>
          <w:sz w:val="18"/>
        </w:rPr>
        <w:t>Vornado Realty Trust: ☐</w:t>
      </w:r>
      <w:r>
        <w:rPr>
          <w:color w:val="000000"/>
        </w:rPr>
        <w:t xml:space="preserve">    </w:t>
      </w:r>
      <w:r>
        <w:rPr>
          <w:rFonts w:ascii="Times New Roman;serif" w:hAnsi="Times New Roman;serif"/>
          <w:b w:val="false"/>
          <w:color w:val="000000"/>
          <w:sz w:val="18"/>
        </w:rPr>
        <w:t>Vornado Realty L.P.: ☐</w:t>
      </w:r>
      <w:r>
        <w:rPr>
          <w:color w:val="000000"/>
        </w:rPr>
        <w:t>  </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w:t>
      </w:r>
    </w:p>
    <w:p>
      <w:pPr>
        <w:pStyle w:val="TextBody"/>
        <w:bidi w:val="0"/>
        <w:spacing w:lineRule="auto" w:line="288" w:before="0" w:after="0"/>
        <w:jc w:val="center"/>
        <w:rPr/>
      </w:pPr>
      <w:r>
        <w:rPr>
          <w:rFonts w:ascii="Times New Roman;serif" w:hAnsi="Times New Roman;serif"/>
          <w:b w:val="false"/>
          <w:color w:val="000000"/>
          <w:sz w:val="18"/>
        </w:rPr>
        <w:t>Vornado Realty Trust: Yes</w:t>
      </w:r>
      <w:r>
        <w:rPr>
          <w:color w:val="000000"/>
        </w:rPr>
        <w:t xml:space="preserve"> ☐   </w:t>
      </w:r>
      <w:r>
        <w:rPr>
          <w:rFonts w:ascii="Times New Roman;serif" w:hAnsi="Times New Roman;serif"/>
          <w:b w:val="false"/>
          <w:color w:val="000000"/>
          <w:sz w:val="18"/>
        </w:rPr>
        <w:t>No ☑    Vornado Realty L.P.: Yes</w:t>
      </w:r>
      <w:r>
        <w:rPr>
          <w:color w:val="000000"/>
        </w:rPr>
        <w:t xml:space="preserve"> ☐   </w:t>
      </w:r>
      <w:r>
        <w:rPr>
          <w:rFonts w:ascii="Times New Roman;serif" w:hAnsi="Times New Roman;serif"/>
          <w:b w:val="false"/>
          <w:color w:val="000000"/>
          <w:sz w:val="18"/>
        </w:rPr>
        <w:t>No ☑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186,720,531 of Vornado Realty Trust’s common shares of beneficial interest 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6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period ended June 30, 2026 of Vornado Realty Trust and Vornado Realty L.P. Unless stated otherwise or the context otherwise requires, references to “Vornado” refer to Vornado Realty Trust, a Maryland real estate investment trust (“REIT”), and references to the “Operating Partnership” refer to Vornado Realty L.P., a Delaware limited partnership. References to the “Company,” “we,” “us” and “our” mean collectively Vornado, the Operating Partnership and those subsidiaries consolidated by Vornado.</w:t>
      </w:r>
    </w:p>
    <w:p>
      <w:pPr>
        <w:pStyle w:val="TextBody"/>
        <w:bidi w:val="0"/>
        <w:spacing w:lineRule="auto" w:line="288" w:before="0" w:after="60"/>
        <w:ind w:left="0" w:right="0" w:firstLine="315"/>
        <w:jc w:val="both"/>
        <w:rPr/>
      </w:pPr>
      <w:r>
        <w:rPr>
          <w:rFonts w:ascii="Times New Roman;serif" w:hAnsi="Times New Roman;serif"/>
          <w:b w:val="false"/>
          <w:color w:val="000000"/>
          <w:sz w:val="20"/>
        </w:rPr>
        <w:t>The Operating Partnership is the entity through which we conduct substantially all of our business and own, either directly or through subsidiaries, substantially all of our assets. Vornado is the sole general partner and also a 91.2%</w:t>
      </w:r>
      <w:r>
        <w:rPr>
          <w:color w:val="FF0000"/>
        </w:rPr>
        <w:t xml:space="preserve"> </w:t>
      </w:r>
      <w:r>
        <w:rPr>
          <w:rFonts w:ascii="Times New Roman;serif" w:hAnsi="Times New Roman;serif"/>
          <w:b w:val="false"/>
          <w:color w:val="000000"/>
          <w:sz w:val="20"/>
        </w:rPr>
        <w:t>limited partner of the Operating Partnership. As the sole general partner of the Operating Partnership, Vornado has exclusive control of the Operating Partnership’s day-to-day management.</w:t>
      </w:r>
    </w:p>
    <w:p>
      <w:pPr>
        <w:pStyle w:val="TextBody"/>
        <w:bidi w:val="0"/>
        <w:spacing w:lineRule="auto" w:line="288" w:before="0" w:after="6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Under the limited partnership agreement of the Operating Partnership, unitholders may present their Class A units for redemption at any time (subject to restrictions agreed upon at the time of issuance of the units that may restrict such right for a period of time).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unitholder is equal to the dividend paid to a Vornado common shareholder. This one-for-one exchange ratio is subject to specified adjustments to prevent dilution. Vornado generally expects that it will elect to issue its common shares in connection with each such presentation for redemption rather than having the Operating Partnership pay cash. With each such exchange or redemption, Vornado’s percentage ownership in the Operating Partnership will increase. In addition, whenever Vornado issues common shares other than to acquire Class A units of the Operating Partnership, Vornado must contribute any net proceeds it receives to the Operating Partnership and the Operating Partnership must issue to Vornado an equivalent number of Class A units of the Operating Partnership. This structure is commonly referred to as an umbrella partnership REIT, or UPREIT.</w:t>
      </w:r>
    </w:p>
    <w:p>
      <w:pPr>
        <w:pStyle w:val="TextBody"/>
        <w:bidi w:val="0"/>
        <w:spacing w:lineRule="auto" w:line="288" w:before="0" w:after="6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Company believes that combining the quarterly reports on Form 10-Q of Vornado and the Operating Partnership into this single report provides the following benefits: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enhances investors’ understanding of Vornado and the Operating Partnership by enabling investors to view the business as a whole in the same manner as management views and operates the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eliminates duplicative disclosure and provides a more streamlined and readable presentation because a substantial portion of the disclosure applies to both Vornado and the Operating Partnership;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creates time and cost efficiencies in the preparation of one combined report instead of two separate reports.</w:t>
      </w:r>
    </w:p>
    <w:p>
      <w:pPr>
        <w:pStyle w:val="TextBody"/>
        <w:bidi w:val="0"/>
        <w:spacing w:lineRule="auto" w:line="288" w:before="0" w:after="6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The Company believes it is important to understand the few differences between Vornado and the Operating Partnership in the context of how Vornado and the Operating Partnership operate as a consolidated company. The financial results of the Operating Partnership are consolidated into the financial statements of Vornado. Vornado does not have any significant assets, liabilities or operations, other than its investment in the Operating Partnership. The Operating Partnership, not Vornado, generally executes all significant business relationships other than transactions involving the securities of Vornado. The Operating Partnership holds substantially all of the assets of Vornado. The Operating Partnership conducts the operations of the business and is structured as a partnership with no publicly traded equity. Except for the net proceeds from equity offerings by Vornado, which are contributed to the capital of the Operating Partnership in exchange for Class A units of partnership in the Operating Partnership, and the net proceeds of debt offerings by Vornado, which are contributed to the Operating Partnership in exchange for debt securities of the Operating Partnership, as applicable, the Operating Partnership generates all remaining capital required by the Company’s business. These sources may include working capital, net cash provided by operating activities, borrowings under the revolving credit facilities, the issuance of secured and unsecured debt and equity securities and proceeds received from the disposition of certain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315"/>
        <w:jc w:val="both"/>
        <w:rPr>
          <w:rFonts w:ascii="Times New Roman;serif" w:hAnsi="Times New Roman;serif"/>
          <w:b w:val="false"/>
          <w:color w:val="000000"/>
          <w:sz w:val="20"/>
        </w:rPr>
      </w:pPr>
      <w:r>
        <w:rPr>
          <w:rFonts w:ascii="Times New Roman;serif" w:hAnsi="Times New Roman;serif"/>
          <w:b w:val="false"/>
          <w:color w:val="000000"/>
          <w:sz w:val="20"/>
        </w:rPr>
        <w:t>To help investors better understand the key differences between Vornado and the Operating Partnership, certain information for Vornado and the Operating Partnership in this report has been separated, as set forth below:</w:t>
      </w:r>
    </w:p>
    <w:p>
      <w:pPr>
        <w:pStyle w:val="TextBody"/>
        <w:bidi w:val="0"/>
        <w:spacing w:lineRule="auto" w:line="240" w:before="0" w:after="60"/>
        <w:ind w:left="0" w:right="0" w:hanging="540"/>
        <w:jc w:val="both"/>
        <w:rPr/>
      </w:pPr>
      <w:r>
        <w:rPr>
          <w:color w:val="000000"/>
        </w:rPr>
        <w:t>•</w:t>
      </w:r>
      <w:r>
        <w:rPr>
          <w:rFonts w:ascii="Times New Roman;serif" w:hAnsi="Times New Roman;serif"/>
          <w:b w:val="false"/>
          <w:color w:val="000000"/>
          <w:sz w:val="20"/>
        </w:rPr>
        <w:t>Item 1. Financial Statements (unaudited), which includes the following specific disclosures for Vornado Realty Trust and Vornado Realty L.P.:</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Note 10. Redeemable Noncontrolling Interests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Note 11. Shareholders' Equity/Partners' Capital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Note 13. Income (Loss) Per Share and Per Class A Unit </w:t>
      </w:r>
    </w:p>
    <w:p>
      <w:pPr>
        <w:pStyle w:val="TextBody"/>
        <w:bidi w:val="0"/>
        <w:spacing w:lineRule="auto" w:line="288" w:before="60" w:after="60"/>
        <w:ind w:left="0" w:right="0" w:hanging="540"/>
        <w:jc w:val="both"/>
        <w:rPr/>
      </w:pPr>
      <w:r>
        <w:rPr>
          <w:color w:val="000000"/>
        </w:rPr>
        <w:t>•</w:t>
      </w:r>
      <w:r>
        <w:rPr>
          <w:rFonts w:ascii="Times New Roman;serif" w:hAnsi="Times New Roman;serif"/>
          <w:b w:val="false"/>
          <w:color w:val="000000"/>
          <w:sz w:val="20"/>
        </w:rPr>
        <w:t>Item 2. Management’s Discussion and Analysis of Financial Condition and Results of Operations includes information specific to each entity, where applicable.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also includes separate Part I, Item 4. Controls and Procedures and Part II, Item 2. Unregistered Sales of Equity Securities and Use of Proceeds sections and separate Exhibits 31 and 32 certifications for each of Vornado and the Operating Partnership in order to establish that the requisite certifications have been made and that Vornado and the Operating Partnership are compliant with Rule 13a-15 or Rule 15d-15 of the Securities Exchange Act of 1934 and 18 U.S.C. §1350.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
        <w:gridCol w:w="123"/>
        <w:gridCol w:w="123"/>
        <w:gridCol w:w="225"/>
        <w:gridCol w:w="225"/>
        <w:gridCol w:w="227"/>
        <w:gridCol w:w="2576"/>
        <w:gridCol w:w="2547"/>
        <w:gridCol w:w="2557"/>
        <w:gridCol w:w="109"/>
        <w:gridCol w:w="109"/>
        <w:gridCol w:w="109"/>
        <w:gridCol w:w="330"/>
        <w:gridCol w:w="330"/>
        <w:gridCol w:w="47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0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Number</w:t>
            </w:r>
          </w:p>
        </w:tc>
      </w:tr>
      <w:tr>
        <w:trPr/>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19">
              <w:r>
                <w:rPr>
                  <w:rStyle w:val="InternetLink"/>
                  <w:rFonts w:ascii="Times New Roman;serif" w:hAnsi="Times New Roman;serif"/>
                  <w:b w:val="false"/>
                  <w:strike w:val="false"/>
                  <w:dstrike w:val="false"/>
                  <w:color w:val="000000"/>
                  <w:sz w:val="18"/>
                  <w:u w:val="none"/>
                  <w:effect w:val="none"/>
                </w:rPr>
                <w:t>Item 1.</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19">
              <w:r>
                <w:rPr>
                  <w:rStyle w:val="InternetLink"/>
                  <w:rFonts w:ascii="Times New Roman;serif" w:hAnsi="Times New Roman;serif"/>
                  <w:b/>
                  <w:strike w:val="false"/>
                  <w:dstrike w:val="false"/>
                  <w:color w:val="000000"/>
                  <w:sz w:val="18"/>
                  <w:u w:val="none"/>
                  <w:effect w:val="none"/>
                </w:rPr>
                <w:t>Financial Statements of Vornado Realty Trust: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Balance Sheets (Unaudited) as of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25">
              <w:r>
                <w:rPr>
                  <w:rStyle w:val="InternetLink"/>
                  <w:rFonts w:ascii="Times New Roman;serif" w:hAnsi="Times New Roman;serif"/>
                  <w:b w:val="false"/>
                  <w:strike w:val="false"/>
                  <w:dstrike w:val="false"/>
                  <w:color w:val="000000"/>
                  <w:sz w:val="18"/>
                  <w:u w:val="none"/>
                  <w:effect w:val="none"/>
                </w:rPr>
                <w:t>6</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Income (Unaudited) for the Three and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1">
              <w:r>
                <w:rPr>
                  <w:rStyle w:val="InternetLink"/>
                  <w:rFonts w:ascii="Times New Roman;serif" w:hAnsi="Times New Roman;serif"/>
                  <w:b w:val="false"/>
                  <w:strike w:val="false"/>
                  <w:dstrike w:val="false"/>
                  <w:color w:val="000000"/>
                  <w:sz w:val="18"/>
                  <w:u w:val="none"/>
                  <w:effect w:val="none"/>
                </w:rPr>
                <w:t>7</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Comprehensive Income (Unaudited) for the Three and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4">
              <w:r>
                <w:rPr>
                  <w:rStyle w:val="InternetLink"/>
                  <w:rFonts w:ascii="Times New Roman;serif" w:hAnsi="Times New Roman;serif"/>
                  <w:b w:val="false"/>
                  <w:strike w:val="false"/>
                  <w:dstrike w:val="false"/>
                  <w:color w:val="000000"/>
                  <w:sz w:val="18"/>
                  <w:u w:val="none"/>
                  <w:effect w:val="none"/>
                </w:rPr>
                <w:t>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Changes in Equity (Unaudited) for the Three and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7">
              <w:r>
                <w:rPr>
                  <w:rStyle w:val="InternetLink"/>
                  <w:rFonts w:ascii="Times New Roman;serif" w:hAnsi="Times New Roman;serif"/>
                  <w:b w:val="false"/>
                  <w:strike w:val="false"/>
                  <w:dstrike w:val="false"/>
                  <w:color w:val="000000"/>
                  <w:sz w:val="18"/>
                  <w:u w:val="none"/>
                  <w:effect w:val="none"/>
                </w:rPr>
                <w:t>9</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Cash Flows (Unaudited) for the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46">
              <w:r>
                <w:rPr>
                  <w:rStyle w:val="InternetLink"/>
                  <w:rFonts w:ascii="Times New Roman;serif" w:hAnsi="Times New Roman;serif"/>
                  <w:b w:val="false"/>
                  <w:strike w:val="false"/>
                  <w:dstrike w:val="false"/>
                  <w:color w:val="000000"/>
                  <w:sz w:val="18"/>
                  <w:u w:val="none"/>
                  <w:effect w:val="none"/>
                </w:rPr>
                <w:t>11</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52">
              <w:r>
                <w:rPr>
                  <w:rStyle w:val="InternetLink"/>
                  <w:rFonts w:ascii="Times New Roman;serif" w:hAnsi="Times New Roman;serif"/>
                  <w:b/>
                  <w:strike w:val="false"/>
                  <w:dstrike w:val="false"/>
                  <w:color w:val="000000"/>
                  <w:sz w:val="18"/>
                  <w:u w:val="none"/>
                  <w:effect w:val="none"/>
                </w:rPr>
                <w:t>Financial Statements of Vornado Realty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Balance Sheets (Unaudited) as of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55">
              <w:r>
                <w:rPr>
                  <w:rStyle w:val="InternetLink"/>
                  <w:rFonts w:ascii="Times New Roman;serif" w:hAnsi="Times New Roman;serif"/>
                  <w:b w:val="false"/>
                  <w:strike w:val="false"/>
                  <w:dstrike w:val="false"/>
                  <w:color w:val="000000"/>
                  <w:sz w:val="18"/>
                  <w:u w:val="none"/>
                  <w:effect w:val="none"/>
                </w:rPr>
                <w:t>13</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Income (Unaudited) for the Three and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61">
              <w:r>
                <w:rPr>
                  <w:rStyle w:val="InternetLink"/>
                  <w:rFonts w:ascii="Times New Roman;serif" w:hAnsi="Times New Roman;serif"/>
                  <w:b w:val="false"/>
                  <w:strike w:val="false"/>
                  <w:dstrike w:val="false"/>
                  <w:color w:val="000000"/>
                  <w:sz w:val="18"/>
                  <w:u w:val="none"/>
                  <w:effect w:val="none"/>
                </w:rPr>
                <w:t>14</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Comprehensive Income (Unaudited) for the Three and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64">
              <w:r>
                <w:rPr>
                  <w:rStyle w:val="InternetLink"/>
                  <w:rFonts w:ascii="Times New Roman;serif" w:hAnsi="Times New Roman;serif"/>
                  <w:b w:val="false"/>
                  <w:strike w:val="false"/>
                  <w:dstrike w:val="false"/>
                  <w:color w:val="000000"/>
                  <w:sz w:val="18"/>
                  <w:u w:val="none"/>
                  <w:effect w:val="none"/>
                </w:rPr>
                <w:t>15</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Changes in Equity (Unaudited) for the Three and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67">
              <w:r>
                <w:rPr>
                  <w:rStyle w:val="InternetLink"/>
                  <w:rFonts w:ascii="Times New Roman;serif" w:hAnsi="Times New Roman;serif"/>
                  <w:b w:val="false"/>
                  <w:strike w:val="false"/>
                  <w:dstrike w:val="false"/>
                  <w:color w:val="000000"/>
                  <w:sz w:val="18"/>
                  <w:u w:val="none"/>
                  <w:effect w:val="none"/>
                </w:rPr>
                <w:t>16</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Cash Flows (Unaudited) for the Six Months Ended June 30,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76">
              <w:r>
                <w:rPr>
                  <w:rStyle w:val="InternetLink"/>
                  <w:rFonts w:ascii="Times New Roman;serif" w:hAnsi="Times New Roman;serif"/>
                  <w:b w:val="false"/>
                  <w:strike w:val="false"/>
                  <w:dstrike w:val="false"/>
                  <w:color w:val="000000"/>
                  <w:sz w:val="18"/>
                  <w:u w:val="none"/>
                  <w:effect w:val="none"/>
                </w:rPr>
                <w:t>18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Vornado Realty Trust and Vornado Realty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85">
              <w:r>
                <w:rPr>
                  <w:rStyle w:val="InternetLink"/>
                  <w:rFonts w:ascii="Times New Roman;serif" w:hAnsi="Times New Roman;serif"/>
                  <w:b w:val="false"/>
                  <w:strike w:val="false"/>
                  <w:dstrike w:val="false"/>
                  <w:color w:val="000000"/>
                  <w:sz w:val="18"/>
                  <w:u w:val="none"/>
                  <w:effect w:val="none"/>
                </w:rPr>
                <w:t>Notes to Consolidated Financial Statements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85">
              <w:r>
                <w:rPr>
                  <w:rStyle w:val="InternetLink"/>
                  <w:rFonts w:ascii="Times New Roman;serif" w:hAnsi="Times New Roman;serif"/>
                  <w:b w:val="false"/>
                  <w:strike w:val="false"/>
                  <w:dstrike w:val="false"/>
                  <w:color w:val="000000"/>
                  <w:sz w:val="18"/>
                  <w:u w:val="none"/>
                  <w:effect w:val="none"/>
                </w:rPr>
                <w:t>20</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Reports of Independent Registered Public Accounting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160">
              <w:r>
                <w:rPr>
                  <w:rStyle w:val="InternetLink"/>
                  <w:rFonts w:ascii="Times New Roman;serif" w:hAnsi="Times New Roman;serif"/>
                  <w:b w:val="false"/>
                  <w:strike w:val="false"/>
                  <w:dstrike w:val="false"/>
                  <w:color w:val="000000"/>
                  <w:sz w:val="18"/>
                  <w:u w:val="none"/>
                  <w:effect w:val="none"/>
                </w:rPr>
                <w:t>39</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163">
              <w:r>
                <w:rPr>
                  <w:rStyle w:val="InternetLink"/>
                  <w:rFonts w:ascii="Times New Roman;serif" w:hAnsi="Times New Roman;serif"/>
                  <w:b w:val="false"/>
                  <w:strike w:val="false"/>
                  <w:dstrike w:val="false"/>
                  <w:color w:val="000000"/>
                  <w:sz w:val="18"/>
                  <w:u w:val="none"/>
                  <w:effect w:val="none"/>
                </w:rPr>
                <w:t>Item 2.</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163">
              <w:r>
                <w:rPr>
                  <w:rStyle w:val="InternetLink"/>
                  <w:rFonts w:ascii="Times New Roman;serif" w:hAnsi="Times New Roman;serif"/>
                  <w:b w:val="false"/>
                  <w:strike w:val="false"/>
                  <w:dstrike w:val="false"/>
                  <w:color w:val="000000"/>
                  <w:sz w:val="18"/>
                  <w:u w:val="none"/>
                  <w:effect w:val="none"/>
                </w:rPr>
                <w:t>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163">
              <w:r>
                <w:rPr>
                  <w:rStyle w:val="InternetLink"/>
                  <w:rFonts w:ascii="Times New Roman;serif" w:hAnsi="Times New Roman;serif"/>
                  <w:b w:val="false"/>
                  <w:strike w:val="false"/>
                  <w:dstrike w:val="false"/>
                  <w:color w:val="000000"/>
                  <w:sz w:val="18"/>
                  <w:u w:val="none"/>
                  <w:effect w:val="none"/>
                </w:rPr>
                <w:t>41</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Quantitative and Qualitative Disclosures About Market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295">
              <w:r>
                <w:rPr>
                  <w:rStyle w:val="InternetLink"/>
                  <w:rFonts w:ascii="Times New Roman;serif" w:hAnsi="Times New Roman;serif"/>
                  <w:b w:val="false"/>
                  <w:strike w:val="false"/>
                  <w:dstrike w:val="false"/>
                  <w:color w:val="000000"/>
                  <w:sz w:val="18"/>
                  <w:u w:val="none"/>
                  <w:effect w:val="none"/>
                </w:rPr>
                <w:t>65</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298">
              <w:r>
                <w:rPr>
                  <w:rStyle w:val="InternetLink"/>
                  <w:rFonts w:ascii="Times New Roman;serif" w:hAnsi="Times New Roman;serif"/>
                  <w:b w:val="false"/>
                  <w:strike w:val="false"/>
                  <w:dstrike w:val="false"/>
                  <w:color w:val="000000"/>
                  <w:sz w:val="18"/>
                  <w:u w:val="none"/>
                  <w:effect w:val="none"/>
                </w:rPr>
                <w:t>Item 4.</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298">
              <w:r>
                <w:rPr>
                  <w:rStyle w:val="InternetLink"/>
                  <w:rFonts w:ascii="Times New Roman;serif" w:hAnsi="Times New Roman;serif"/>
                  <w:b w:val="false"/>
                  <w:strike w:val="false"/>
                  <w:dstrike w:val="false"/>
                  <w:color w:val="000000"/>
                  <w:sz w:val="18"/>
                  <w:u w:val="none"/>
                  <w:effect w:val="none"/>
                </w:rPr>
                <w:t>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298">
              <w:r>
                <w:rPr>
                  <w:rStyle w:val="InternetLink"/>
                  <w:rFonts w:ascii="Times New Roman;serif" w:hAnsi="Times New Roman;serif"/>
                  <w:b w:val="false"/>
                  <w:strike w:val="false"/>
                  <w:dstrike w:val="false"/>
                  <w:color w:val="000000"/>
                  <w:sz w:val="18"/>
                  <w:u w:val="none"/>
                  <w:effect w:val="none"/>
                </w:rPr>
                <w:t>67</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II.</w:t>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04">
              <w:r>
                <w:rPr>
                  <w:rStyle w:val="InternetLink"/>
                  <w:rFonts w:ascii="Times New Roman;serif" w:hAnsi="Times New Roman;serif"/>
                  <w:b w:val="false"/>
                  <w:strike w:val="false"/>
                  <w:dstrike w:val="false"/>
                  <w:color w:val="000000"/>
                  <w:sz w:val="18"/>
                  <w:u w:val="none"/>
                  <w:effect w:val="none"/>
                </w:rPr>
                <w:t>Item 1.</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04">
              <w:r>
                <w:rPr>
                  <w:rStyle w:val="InternetLink"/>
                  <w:rFonts w:ascii="Times New Roman;serif" w:hAnsi="Times New Roman;serif"/>
                  <w:b w:val="false"/>
                  <w:strike w:val="false"/>
                  <w:dstrike w:val="false"/>
                  <w:color w:val="000000"/>
                  <w:sz w:val="18"/>
                  <w:u w:val="none"/>
                  <w:effect w:val="non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04">
              <w:r>
                <w:rPr>
                  <w:rStyle w:val="InternetLink"/>
                  <w:rFonts w:ascii="Times New Roman;serif" w:hAnsi="Times New Roman;serif"/>
                  <w:b w:val="false"/>
                  <w:strike w:val="false"/>
                  <w:dstrike w:val="false"/>
                  <w:color w:val="000000"/>
                  <w:sz w:val="18"/>
                  <w:u w:val="none"/>
                  <w:effect w:val="none"/>
                </w:rPr>
                <w:t>68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07">
              <w:r>
                <w:rPr>
                  <w:rStyle w:val="InternetLink"/>
                  <w:rFonts w:ascii="Times New Roman;serif" w:hAnsi="Times New Roman;serif"/>
                  <w:b w:val="false"/>
                  <w:strike w:val="false"/>
                  <w:dstrike w:val="false"/>
                  <w:color w:val="000000"/>
                  <w:sz w:val="18"/>
                  <w:u w:val="none"/>
                  <w:effect w:val="none"/>
                </w:rPr>
                <w:t>Item 1A.</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07">
              <w:r>
                <w:rPr>
                  <w:rStyle w:val="InternetLink"/>
                  <w:rFonts w:ascii="Times New Roman;serif" w:hAnsi="Times New Roman;serif"/>
                  <w:b w:val="false"/>
                  <w:strike w:val="false"/>
                  <w:dstrike w:val="false"/>
                  <w:color w:val="000000"/>
                  <w:sz w:val="18"/>
                  <w:u w:val="none"/>
                  <w:effect w:val="non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07">
              <w:r>
                <w:rPr>
                  <w:rStyle w:val="InternetLink"/>
                  <w:rFonts w:ascii="Times New Roman;serif" w:hAnsi="Times New Roman;serif"/>
                  <w:b w:val="false"/>
                  <w:strike w:val="false"/>
                  <w:dstrike w:val="false"/>
                  <w:color w:val="000000"/>
                  <w:sz w:val="18"/>
                  <w:u w:val="none"/>
                  <w:effect w:val="none"/>
                </w:rPr>
                <w:t>68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10">
              <w:r>
                <w:rPr>
                  <w:rStyle w:val="InternetLink"/>
                  <w:rFonts w:ascii="Times New Roman;serif" w:hAnsi="Times New Roman;serif"/>
                  <w:b w:val="false"/>
                  <w:strike w:val="false"/>
                  <w:dstrike w:val="false"/>
                  <w:color w:val="000000"/>
                  <w:sz w:val="18"/>
                  <w:u w:val="none"/>
                  <w:effect w:val="none"/>
                </w:rPr>
                <w:t>Item 2.</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10">
              <w:r>
                <w:rPr>
                  <w:rStyle w:val="InternetLink"/>
                  <w:rFonts w:ascii="Times New Roman;serif" w:hAnsi="Times New Roman;serif"/>
                  <w:b w:val="false"/>
                  <w:strike w:val="false"/>
                  <w:dstrike w:val="false"/>
                  <w:color w:val="000000"/>
                  <w:sz w:val="18"/>
                  <w:u w:val="none"/>
                  <w:effect w:val="none"/>
                </w:rPr>
                <w:t>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10">
              <w:r>
                <w:rPr>
                  <w:rStyle w:val="InternetLink"/>
                  <w:rFonts w:ascii="Times New Roman;serif" w:hAnsi="Times New Roman;serif"/>
                  <w:b w:val="false"/>
                  <w:strike w:val="false"/>
                  <w:dstrike w:val="false"/>
                  <w:color w:val="000000"/>
                  <w:sz w:val="18"/>
                  <w:u w:val="none"/>
                  <w:effect w:val="none"/>
                </w:rPr>
                <w:t>68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13">
              <w:r>
                <w:rPr>
                  <w:rStyle w:val="InternetLink"/>
                  <w:rFonts w:ascii="Times New Roman;serif" w:hAnsi="Times New Roman;serif"/>
                  <w:b w:val="false"/>
                  <w:strike w:val="false"/>
                  <w:dstrike w:val="false"/>
                  <w:color w:val="000000"/>
                  <w:sz w:val="18"/>
                  <w:u w:val="none"/>
                  <w:effect w:val="none"/>
                </w:rPr>
                <w:t>Item 3.</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13">
              <w:r>
                <w:rPr>
                  <w:rStyle w:val="InternetLink"/>
                  <w:rFonts w:ascii="Times New Roman;serif" w:hAnsi="Times New Roman;serif"/>
                  <w:b w:val="false"/>
                  <w:strike w:val="false"/>
                  <w:dstrike w:val="false"/>
                  <w:color w:val="000000"/>
                  <w:sz w:val="18"/>
                  <w:u w:val="none"/>
                  <w:effect w:val="none"/>
                </w:rPr>
                <w:t>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13">
              <w:r>
                <w:rPr>
                  <w:rStyle w:val="InternetLink"/>
                  <w:rFonts w:ascii="Times New Roman;serif" w:hAnsi="Times New Roman;serif"/>
                  <w:b w:val="false"/>
                  <w:strike w:val="false"/>
                  <w:dstrike w:val="false"/>
                  <w:color w:val="000000"/>
                  <w:sz w:val="18"/>
                  <w:u w:val="none"/>
                  <w:effect w:val="none"/>
                </w:rPr>
                <w:t>68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16">
              <w:r>
                <w:rPr>
                  <w:rStyle w:val="InternetLink"/>
                  <w:rFonts w:ascii="Times New Roman;serif" w:hAnsi="Times New Roman;serif"/>
                  <w:b w:val="false"/>
                  <w:strike w:val="false"/>
                  <w:dstrike w:val="false"/>
                  <w:color w:val="000000"/>
                  <w:sz w:val="18"/>
                  <w:u w:val="none"/>
                  <w:effect w:val="none"/>
                </w:rPr>
                <w:t>Item 4.</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16">
              <w:r>
                <w:rPr>
                  <w:rStyle w:val="InternetLink"/>
                  <w:rFonts w:ascii="Times New Roman;serif" w:hAnsi="Times New Roman;serif"/>
                  <w:b w:val="false"/>
                  <w:strike w:val="false"/>
                  <w:dstrike w:val="false"/>
                  <w:color w:val="000000"/>
                  <w:sz w:val="18"/>
                  <w:u w:val="none"/>
                  <w:effect w:val="none"/>
                </w:rPr>
                <w:t>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16">
              <w:r>
                <w:rPr>
                  <w:rStyle w:val="InternetLink"/>
                  <w:rFonts w:ascii="Times New Roman;serif" w:hAnsi="Times New Roman;serif"/>
                  <w:b w:val="false"/>
                  <w:strike w:val="false"/>
                  <w:dstrike w:val="false"/>
                  <w:color w:val="000000"/>
                  <w:sz w:val="18"/>
                  <w:u w:val="none"/>
                  <w:effect w:val="none"/>
                </w:rPr>
                <w:t>68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19">
              <w:r>
                <w:rPr>
                  <w:rStyle w:val="InternetLink"/>
                  <w:rFonts w:ascii="Times New Roman;serif" w:hAnsi="Times New Roman;serif"/>
                  <w:b w:val="false"/>
                  <w:strike w:val="false"/>
                  <w:dstrike w:val="false"/>
                  <w:color w:val="000000"/>
                  <w:sz w:val="18"/>
                  <w:u w:val="none"/>
                  <w:effect w:val="none"/>
                </w:rPr>
                <w:t>Item 5.</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19">
              <w:r>
                <w:rPr>
                  <w:rStyle w:val="InternetLink"/>
                  <w:rFonts w:ascii="Times New Roman;serif" w:hAnsi="Times New Roman;serif"/>
                  <w:b w:val="false"/>
                  <w:strike w:val="false"/>
                  <w:dstrike w:val="false"/>
                  <w:color w:val="000000"/>
                  <w:sz w:val="18"/>
                  <w:u w:val="none"/>
                  <w:effect w:val="non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w:t>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22">
              <w:r>
                <w:rPr>
                  <w:rStyle w:val="InternetLink"/>
                  <w:rFonts w:ascii="Times New Roman;serif" w:hAnsi="Times New Roman;serif"/>
                  <w:b w:val="false"/>
                  <w:strike w:val="false"/>
                  <w:dstrike w:val="false"/>
                  <w:color w:val="000000"/>
                  <w:sz w:val="18"/>
                  <w:u w:val="none"/>
                  <w:effect w:val="none"/>
                </w:rPr>
                <w:t>Item 6.</w:t>
              </w:r>
            </w:hyperlink>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22">
              <w:r>
                <w:rPr>
                  <w:rStyle w:val="InternetLink"/>
                  <w:rFonts w:ascii="Times New Roman;serif" w:hAnsi="Times New Roman;serif"/>
                  <w:b w:val="false"/>
                  <w:strike w:val="false"/>
                  <w:dstrike w:val="false"/>
                  <w:color w:val="000000"/>
                  <w:sz w:val="18"/>
                  <w:u w:val="none"/>
                  <w:effect w:val="none"/>
                </w:rPr>
                <w:t>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22">
              <w:r>
                <w:rPr>
                  <w:rStyle w:val="InternetLink"/>
                  <w:rFonts w:ascii="Times New Roman;serif" w:hAnsi="Times New Roman;serif"/>
                  <w:b w:val="false"/>
                  <w:strike w:val="false"/>
                  <w:dstrike w:val="false"/>
                  <w:color w:val="000000"/>
                  <w:sz w:val="18"/>
                  <w:u w:val="none"/>
                  <w:effect w:val="none"/>
                </w:rPr>
                <w:t>70</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6c3bab4b3a4a908ce4afcf5b710258_325">
              <w:r>
                <w:rPr>
                  <w:rStyle w:val="InternetLink"/>
                  <w:rFonts w:ascii="Times New Roman;serif" w:hAnsi="Times New Roman;serif"/>
                  <w:b/>
                  <w:strike w:val="false"/>
                  <w:dstrike w:val="false"/>
                  <w:color w:val="000000"/>
                  <w:sz w:val="18"/>
                  <w:u w:val="none"/>
                  <w:effect w:val="non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6c3bab4b3a4a908ce4afcf5b710258_325">
              <w:r>
                <w:rPr>
                  <w:rStyle w:val="InternetLink"/>
                  <w:rFonts w:ascii="Times New Roman;serif" w:hAnsi="Times New Roman;serif"/>
                  <w:b w:val="false"/>
                  <w:strike w:val="false"/>
                  <w:dstrike w:val="false"/>
                  <w:color w:val="000000"/>
                  <w:sz w:val="18"/>
                  <w:u w:val="none"/>
                  <w:effect w:val="none"/>
                </w:rPr>
                <w:t>71</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8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8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8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8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7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36"/>
        <w:gridCol w:w="2156"/>
        <w:gridCol w:w="2171"/>
        <w:gridCol w:w="196"/>
        <w:gridCol w:w="961"/>
        <w:gridCol w:w="109"/>
        <w:gridCol w:w="109"/>
        <w:gridCol w:w="109"/>
        <w:gridCol w:w="109"/>
        <w:gridCol w:w="216"/>
        <w:gridCol w:w="1060"/>
        <w:gridCol w:w="173"/>
      </w:tblGrid>
      <w:tr>
        <w:trPr/>
        <w:tc>
          <w:tcPr>
            <w:tcW w:w="283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except unit, share, and per share amounts)</w:t>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at cost:</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2,408,914 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10,942,418 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costs and construction in progress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890,143 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Leasehold improvements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14,346,555 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 and amortization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(4,191,075)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net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10,150,197 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10,155,480 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671,308 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lease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840,850 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and other receivables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partially owned entities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1,941,278 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6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arising from the straight-lining of rents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Deferred leasing costs, net of accumulated amortization of $242,589 and $233,448</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374,620 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Identified intangible assets, net of accumulated amortization of $85,206 and $81,962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15,611,168 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15,521,118 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REDEEMABLE NONCONTROLLING INTERESTS AND EQUITY</w:t>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Mortgages payable,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4,920,669 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747,202 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revolving credit facilities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720,420 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376,190 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341,359 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8,716,595 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units - 16,653,539 and 16,650,713 units outstanding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D cumulative redeemable preferred units - 141,400 units outstanding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redeemable noncontrolling partnership units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557,671 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in a consolidated subsidiary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redeemable noncontrolling interests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647,951 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Preferred shares of beneficial interest: no par value per share; authorized 110,000,000 shares; issued and outstanding 48,787,838 and 48,788,450 shares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1,182,345 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Common shares of beneficial interest: $0.04 par value per share; authorized 250,000,000 shares; issued and outstanding 186,720,531 and 190,666,367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8,288,363 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less than distributions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(3,491,603)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other comprehensive income (loss)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5,986,727 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consolidated subsidiaries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6,156,572 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15,611,168 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15,521,118 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25"/>
        <w:gridCol w:w="1391"/>
        <w:gridCol w:w="1402"/>
        <w:gridCol w:w="226"/>
        <w:gridCol w:w="854"/>
        <w:gridCol w:w="125"/>
        <w:gridCol w:w="125"/>
        <w:gridCol w:w="125"/>
        <w:gridCol w:w="125"/>
        <w:gridCol w:w="226"/>
        <w:gridCol w:w="854"/>
        <w:gridCol w:w="125"/>
        <w:gridCol w:w="109"/>
        <w:gridCol w:w="109"/>
        <w:gridCol w:w="109"/>
        <w:gridCol w:w="212"/>
        <w:gridCol w:w="801"/>
        <w:gridCol w:w="117"/>
        <w:gridCol w:w="117"/>
        <w:gridCol w:w="117"/>
        <w:gridCol w:w="117"/>
        <w:gridCol w:w="212"/>
        <w:gridCol w:w="801"/>
        <w:gridCol w:w="181"/>
      </w:tblGrid>
      <w:tr>
        <w:trPr/>
        <w:tc>
          <w:tcPr>
            <w:tcW w:w="162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except per share amounts)</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revenues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804,257 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787,007 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and other income</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462,242 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903,016 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(223,649)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(444,088)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(115,574)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 from deferred compensation plan liability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related costs and other</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(436,633)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(378,744)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(845,380)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(757,190)</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partially owned entities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investment income,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deferred compensation plan assets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debt expense</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(89,582)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(87,929)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(178,788)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debt extinguishment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sales-type lease</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disposition of wholly owned and partially owned assets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42,767 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817,350 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924,367 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813,227 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913,051 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 in:</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subsidiaries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Partnership</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(64,863)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(72,752)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Vornado</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31,959 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759,345 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861,713 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dividends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common shareholders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743,819 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830,661 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PER COMMON SHARE - BASIC:</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w:t>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187,279 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191,984 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188,462 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191,680 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PER COMMON SHARE - DILUTED:</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w:t>
            </w:r>
          </w:p>
        </w:tc>
        <w:tc>
          <w:tcPr>
            <w:tcW w:w="108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194,201 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201,066 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188,462 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200,927 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74"/>
        <w:gridCol w:w="1403"/>
        <w:gridCol w:w="1407"/>
        <w:gridCol w:w="232"/>
        <w:gridCol w:w="767"/>
        <w:gridCol w:w="129"/>
        <w:gridCol w:w="129"/>
        <w:gridCol w:w="129"/>
        <w:gridCol w:w="129"/>
        <w:gridCol w:w="232"/>
        <w:gridCol w:w="874"/>
        <w:gridCol w:w="129"/>
        <w:gridCol w:w="109"/>
        <w:gridCol w:w="109"/>
        <w:gridCol w:w="109"/>
        <w:gridCol w:w="218"/>
        <w:gridCol w:w="721"/>
        <w:gridCol w:w="121"/>
        <w:gridCol w:w="121"/>
        <w:gridCol w:w="121"/>
        <w:gridCol w:w="121"/>
        <w:gridCol w:w="218"/>
        <w:gridCol w:w="821"/>
        <w:gridCol w:w="182"/>
      </w:tblGrid>
      <w:tr>
        <w:trPr/>
        <w:tc>
          <w:tcPr>
            <w:tcW w:w="167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813,227 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913,051 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consolidated interest rate hedges and 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of nonconsolidated subsidiaries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Comprehensive income </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860,658 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(income) loss attributable to noncontrolling interests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Vornado</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42,303 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742,215 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50,219 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813,902 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pStyle w:val="TextBody"/>
        <w:bidi w:val="0"/>
        <w:spacing w:before="14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895" w:type="dxa"/>
        <w:jc w:val="center"/>
        <w:tblInd w:w="0" w:type="dxa"/>
        <w:tblLayout w:type="fixed"/>
        <w:tblCellMar>
          <w:top w:w="28" w:type="dxa"/>
          <w:left w:w="28" w:type="dxa"/>
          <w:bottom w:w="28" w:type="dxa"/>
          <w:right w:w="28" w:type="dxa"/>
        </w:tblCellMar>
      </w:tblPr>
      <w:tblGrid>
        <w:gridCol w:w="818"/>
        <w:gridCol w:w="138"/>
        <w:gridCol w:w="140"/>
        <w:gridCol w:w="109"/>
        <w:gridCol w:w="109"/>
        <w:gridCol w:w="109"/>
        <w:gridCol w:w="285"/>
        <w:gridCol w:w="286"/>
        <w:gridCol w:w="181"/>
        <w:gridCol w:w="109"/>
        <w:gridCol w:w="109"/>
        <w:gridCol w:w="109"/>
        <w:gridCol w:w="181"/>
        <w:gridCol w:w="766"/>
        <w:gridCol w:w="109"/>
        <w:gridCol w:w="109"/>
        <w:gridCol w:w="109"/>
        <w:gridCol w:w="109"/>
        <w:gridCol w:w="323"/>
        <w:gridCol w:w="323"/>
        <w:gridCol w:w="181"/>
        <w:gridCol w:w="109"/>
        <w:gridCol w:w="109"/>
        <w:gridCol w:w="109"/>
        <w:gridCol w:w="181"/>
        <w:gridCol w:w="496"/>
        <w:gridCol w:w="109"/>
        <w:gridCol w:w="109"/>
        <w:gridCol w:w="109"/>
        <w:gridCol w:w="109"/>
        <w:gridCol w:w="181"/>
        <w:gridCol w:w="766"/>
        <w:gridCol w:w="109"/>
        <w:gridCol w:w="109"/>
        <w:gridCol w:w="109"/>
        <w:gridCol w:w="109"/>
        <w:gridCol w:w="181"/>
        <w:gridCol w:w="766"/>
        <w:gridCol w:w="109"/>
        <w:gridCol w:w="109"/>
        <w:gridCol w:w="109"/>
        <w:gridCol w:w="109"/>
        <w:gridCol w:w="230"/>
        <w:gridCol w:w="726"/>
        <w:gridCol w:w="140"/>
        <w:gridCol w:w="109"/>
        <w:gridCol w:w="109"/>
        <w:gridCol w:w="109"/>
        <w:gridCol w:w="217"/>
        <w:gridCol w:w="777"/>
        <w:gridCol w:w="132"/>
        <w:gridCol w:w="109"/>
        <w:gridCol w:w="109"/>
        <w:gridCol w:w="109"/>
        <w:gridCol w:w="181"/>
        <w:gridCol w:w="76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 Less Than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For the 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188,098 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8,407,140 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(3,594,200)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164,742 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6,182,772 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Vornado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31,959 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nonredeemable noncontrolling interests in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on preferred shares (see Note 11 for dividends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issued upon redemption of Class A units, at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Series A preferred shares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of nonconsolidated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consolidated interest rate hedges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Class A unit measurement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(215,599)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attributable to noncontrolling interests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186,721 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8,202,784 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(3,631,204)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26,033 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175,697 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5,963,284 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95" w:type="dxa"/>
        <w:jc w:val="center"/>
        <w:tblInd w:w="0" w:type="dxa"/>
        <w:tblLayout w:type="fixed"/>
        <w:tblCellMar>
          <w:top w:w="28" w:type="dxa"/>
          <w:left w:w="28" w:type="dxa"/>
          <w:bottom w:w="28" w:type="dxa"/>
          <w:right w:w="28" w:type="dxa"/>
        </w:tblCellMar>
      </w:tblPr>
      <w:tblGrid>
        <w:gridCol w:w="818"/>
        <w:gridCol w:w="138"/>
        <w:gridCol w:w="140"/>
        <w:gridCol w:w="109"/>
        <w:gridCol w:w="109"/>
        <w:gridCol w:w="109"/>
        <w:gridCol w:w="285"/>
        <w:gridCol w:w="286"/>
        <w:gridCol w:w="181"/>
        <w:gridCol w:w="109"/>
        <w:gridCol w:w="109"/>
        <w:gridCol w:w="109"/>
        <w:gridCol w:w="181"/>
        <w:gridCol w:w="766"/>
        <w:gridCol w:w="109"/>
        <w:gridCol w:w="109"/>
        <w:gridCol w:w="109"/>
        <w:gridCol w:w="109"/>
        <w:gridCol w:w="323"/>
        <w:gridCol w:w="323"/>
        <w:gridCol w:w="181"/>
        <w:gridCol w:w="109"/>
        <w:gridCol w:w="109"/>
        <w:gridCol w:w="109"/>
        <w:gridCol w:w="181"/>
        <w:gridCol w:w="496"/>
        <w:gridCol w:w="109"/>
        <w:gridCol w:w="109"/>
        <w:gridCol w:w="109"/>
        <w:gridCol w:w="109"/>
        <w:gridCol w:w="181"/>
        <w:gridCol w:w="766"/>
        <w:gridCol w:w="109"/>
        <w:gridCol w:w="109"/>
        <w:gridCol w:w="109"/>
        <w:gridCol w:w="109"/>
        <w:gridCol w:w="181"/>
        <w:gridCol w:w="766"/>
        <w:gridCol w:w="109"/>
        <w:gridCol w:w="109"/>
        <w:gridCol w:w="109"/>
        <w:gridCol w:w="109"/>
        <w:gridCol w:w="230"/>
        <w:gridCol w:w="726"/>
        <w:gridCol w:w="140"/>
        <w:gridCol w:w="109"/>
        <w:gridCol w:w="109"/>
        <w:gridCol w:w="109"/>
        <w:gridCol w:w="217"/>
        <w:gridCol w:w="777"/>
        <w:gridCol w:w="132"/>
        <w:gridCol w:w="109"/>
        <w:gridCol w:w="109"/>
        <w:gridCol w:w="109"/>
        <w:gridCol w:w="181"/>
        <w:gridCol w:w="76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2881" w:type="dxa"/>
            <w:gridSpan w:val="12"/>
            <w:tcBorders/>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 Less Than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For the 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191,949 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8,152,507 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(4,055,415)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175,851 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5,489,969 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Vornado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759,345 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 attributable to nonredeemable noncontrolling interests in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on preferred shares (see Note 11 for dividends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issued upon redemption of Class A units, at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 of nonconsolidated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(3,668)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consolidated interest rate hedges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(15,080)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Class A unit measurement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 attributable to noncontrolling interests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192,041 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8,203,781 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(3,311,586)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9,857 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171,863 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6,263,961 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pStyle w:val="TextBody"/>
        <w:bidi w:val="0"/>
        <w:spacing w:before="10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895" w:type="dxa"/>
        <w:jc w:val="center"/>
        <w:tblInd w:w="0" w:type="dxa"/>
        <w:tblLayout w:type="fixed"/>
        <w:tblCellMar>
          <w:top w:w="28" w:type="dxa"/>
          <w:left w:w="28" w:type="dxa"/>
          <w:bottom w:w="28" w:type="dxa"/>
          <w:right w:w="28" w:type="dxa"/>
        </w:tblCellMar>
      </w:tblPr>
      <w:tblGrid>
        <w:gridCol w:w="818"/>
        <w:gridCol w:w="138"/>
        <w:gridCol w:w="140"/>
        <w:gridCol w:w="109"/>
        <w:gridCol w:w="109"/>
        <w:gridCol w:w="109"/>
        <w:gridCol w:w="285"/>
        <w:gridCol w:w="286"/>
        <w:gridCol w:w="181"/>
        <w:gridCol w:w="109"/>
        <w:gridCol w:w="109"/>
        <w:gridCol w:w="109"/>
        <w:gridCol w:w="181"/>
        <w:gridCol w:w="766"/>
        <w:gridCol w:w="109"/>
        <w:gridCol w:w="109"/>
        <w:gridCol w:w="109"/>
        <w:gridCol w:w="109"/>
        <w:gridCol w:w="323"/>
        <w:gridCol w:w="323"/>
        <w:gridCol w:w="181"/>
        <w:gridCol w:w="109"/>
        <w:gridCol w:w="109"/>
        <w:gridCol w:w="109"/>
        <w:gridCol w:w="181"/>
        <w:gridCol w:w="496"/>
        <w:gridCol w:w="109"/>
        <w:gridCol w:w="109"/>
        <w:gridCol w:w="109"/>
        <w:gridCol w:w="109"/>
        <w:gridCol w:w="181"/>
        <w:gridCol w:w="766"/>
        <w:gridCol w:w="109"/>
        <w:gridCol w:w="109"/>
        <w:gridCol w:w="109"/>
        <w:gridCol w:w="109"/>
        <w:gridCol w:w="181"/>
        <w:gridCol w:w="766"/>
        <w:gridCol w:w="109"/>
        <w:gridCol w:w="109"/>
        <w:gridCol w:w="109"/>
        <w:gridCol w:w="109"/>
        <w:gridCol w:w="230"/>
        <w:gridCol w:w="726"/>
        <w:gridCol w:w="140"/>
        <w:gridCol w:w="109"/>
        <w:gridCol w:w="109"/>
        <w:gridCol w:w="109"/>
        <w:gridCol w:w="217"/>
        <w:gridCol w:w="777"/>
        <w:gridCol w:w="132"/>
        <w:gridCol w:w="109"/>
        <w:gridCol w:w="109"/>
        <w:gridCol w:w="109"/>
        <w:gridCol w:w="181"/>
        <w:gridCol w:w="76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 Less Than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190,666 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8,288,363 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169,845 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6,156,572 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Vornado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nonredeemable noncontrolling interests in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on preferred shares (see Note 11 for dividends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issued upon redemption of Class A units, at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(4,533)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(133,396)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Series A preferred shares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of nonconsolidated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consolidated interest rate hedges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Class A unit measurement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(102,097)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attributable to noncontrolling interests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186,721 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8,202,784 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(3,631,204)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26,033 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175,697 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5,963,284 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95" w:type="dxa"/>
        <w:jc w:val="center"/>
        <w:tblInd w:w="0" w:type="dxa"/>
        <w:tblLayout w:type="fixed"/>
        <w:tblCellMar>
          <w:top w:w="28" w:type="dxa"/>
          <w:left w:w="28" w:type="dxa"/>
          <w:bottom w:w="28" w:type="dxa"/>
          <w:right w:w="28" w:type="dxa"/>
        </w:tblCellMar>
      </w:tblPr>
      <w:tblGrid>
        <w:gridCol w:w="818"/>
        <w:gridCol w:w="138"/>
        <w:gridCol w:w="140"/>
        <w:gridCol w:w="109"/>
        <w:gridCol w:w="109"/>
        <w:gridCol w:w="109"/>
        <w:gridCol w:w="285"/>
        <w:gridCol w:w="286"/>
        <w:gridCol w:w="181"/>
        <w:gridCol w:w="109"/>
        <w:gridCol w:w="109"/>
        <w:gridCol w:w="109"/>
        <w:gridCol w:w="181"/>
        <w:gridCol w:w="766"/>
        <w:gridCol w:w="109"/>
        <w:gridCol w:w="109"/>
        <w:gridCol w:w="109"/>
        <w:gridCol w:w="109"/>
        <w:gridCol w:w="323"/>
        <w:gridCol w:w="323"/>
        <w:gridCol w:w="181"/>
        <w:gridCol w:w="109"/>
        <w:gridCol w:w="109"/>
        <w:gridCol w:w="109"/>
        <w:gridCol w:w="181"/>
        <w:gridCol w:w="496"/>
        <w:gridCol w:w="109"/>
        <w:gridCol w:w="109"/>
        <w:gridCol w:w="109"/>
        <w:gridCol w:w="109"/>
        <w:gridCol w:w="181"/>
        <w:gridCol w:w="766"/>
        <w:gridCol w:w="109"/>
        <w:gridCol w:w="109"/>
        <w:gridCol w:w="109"/>
        <w:gridCol w:w="109"/>
        <w:gridCol w:w="181"/>
        <w:gridCol w:w="766"/>
        <w:gridCol w:w="109"/>
        <w:gridCol w:w="109"/>
        <w:gridCol w:w="109"/>
        <w:gridCol w:w="109"/>
        <w:gridCol w:w="230"/>
        <w:gridCol w:w="726"/>
        <w:gridCol w:w="140"/>
        <w:gridCol w:w="109"/>
        <w:gridCol w:w="109"/>
        <w:gridCol w:w="109"/>
        <w:gridCol w:w="217"/>
        <w:gridCol w:w="777"/>
        <w:gridCol w:w="132"/>
        <w:gridCol w:w="109"/>
        <w:gridCol w:w="109"/>
        <w:gridCol w:w="109"/>
        <w:gridCol w:w="181"/>
        <w:gridCol w:w="76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 Less Than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190,847 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8,052,793 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(4,142,249)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57,700 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178,969 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5,337,211 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Vornado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861,713 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 attributable to nonredeemable noncontrolling interests in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(6,988)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on preferred shares (see Note 11 for dividends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Upon redemption of Class A units, at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48,578 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Under employees’ share option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 of nonconsolidated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(11,251)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(11,251)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consolidated interest rate hedges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(41,142)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Class A unit measurement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102,388 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 attributable to noncontrolling interests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192,041 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8,203,781 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(3,311,586)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9,857 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171,863 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6,263,961 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77" w:type="dxa"/>
        <w:jc w:val="left"/>
        <w:tblInd w:w="0" w:type="dxa"/>
        <w:tblLayout w:type="fixed"/>
        <w:tblCellMar>
          <w:top w:w="28" w:type="dxa"/>
          <w:left w:w="28" w:type="dxa"/>
          <w:bottom w:w="28" w:type="dxa"/>
          <w:right w:w="28" w:type="dxa"/>
        </w:tblCellMar>
      </w:tblPr>
      <w:tblGrid>
        <w:gridCol w:w="2348"/>
        <w:gridCol w:w="2063"/>
        <w:gridCol w:w="2069"/>
        <w:gridCol w:w="217"/>
        <w:gridCol w:w="717"/>
        <w:gridCol w:w="121"/>
        <w:gridCol w:w="121"/>
        <w:gridCol w:w="121"/>
        <w:gridCol w:w="121"/>
        <w:gridCol w:w="217"/>
        <w:gridCol w:w="817"/>
        <w:gridCol w:w="245"/>
      </w:tblGrid>
      <w:tr>
        <w:trPr/>
        <w:tc>
          <w:tcPr>
            <w:tcW w:w="234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913,051 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amortization of deferred financing costs)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241,538 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income of partially owned entities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(113,648)</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of income from partially owned entities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54,205 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Straight-lining of rents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(19,706)</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debt extinguishment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13,541 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deferred tax liability</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4,488 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below-market leases,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interest rate cap premiums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lease payment (net of initial direct costs)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901,409 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sales-type lease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disposition of wholly owned and partially owned assets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(24,039)</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adjustments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4,022 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and other receivables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assets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14,578 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(48,632)</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(39,498)</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1,078,946 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partially owned entities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(16,967)</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real estate and other</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(22,771)</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real estate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(152,513)</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repayment of loan receivable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costs and construction in progress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(82,064)</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real estate and other</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22,308 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of capital from partially owned entities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partial redemption of Fifth Avenue and Times Square JV preferred equity</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749,000 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condominium units and ancillary amenities at 220 Central Park South</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24,839 </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93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(498,647)</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525,155 </w:t>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9008" w:type="dxa"/>
        <w:jc w:val="center"/>
        <w:tblInd w:w="0" w:type="dxa"/>
        <w:tblLayout w:type="fixed"/>
        <w:tblCellMar>
          <w:top w:w="28" w:type="dxa"/>
          <w:left w:w="28" w:type="dxa"/>
          <w:bottom w:w="28" w:type="dxa"/>
          <w:right w:w="28" w:type="dxa"/>
        </w:tblCellMar>
      </w:tblPr>
      <w:tblGrid>
        <w:gridCol w:w="2277"/>
        <w:gridCol w:w="2001"/>
        <w:gridCol w:w="2006"/>
        <w:gridCol w:w="196"/>
        <w:gridCol w:w="871"/>
        <w:gridCol w:w="109"/>
        <w:gridCol w:w="109"/>
        <w:gridCol w:w="109"/>
        <w:gridCol w:w="109"/>
        <w:gridCol w:w="196"/>
        <w:gridCol w:w="871"/>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(1,278,232)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preferred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(1,190,422)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949,619 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and Cash Equivalents and Restricted Cash:</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733,947 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1,204,863 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at end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 interest (excluding capitalized interest) and interest rate cap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Information: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Class A unit measurement adjustment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fully depreciated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Forgiveness of mortgage principal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 included in accounts payable and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consolidated interest rate hedges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assets and liabilities resulting from the derecognition of 770 Broadway: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arising from the straight-lining of rents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leasing costs, net of accumulated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83" w:type="dxa"/>
        <w:jc w:val="left"/>
        <w:tblInd w:w="0" w:type="dxa"/>
        <w:tblLayout w:type="fixed"/>
        <w:tblCellMar>
          <w:top w:w="28" w:type="dxa"/>
          <w:left w:w="28" w:type="dxa"/>
          <w:bottom w:w="28" w:type="dxa"/>
          <w:right w:w="28" w:type="dxa"/>
        </w:tblCellMar>
      </w:tblPr>
      <w:tblGrid>
        <w:gridCol w:w="2188"/>
        <w:gridCol w:w="1921"/>
        <w:gridCol w:w="1936"/>
        <w:gridCol w:w="196"/>
        <w:gridCol w:w="961"/>
        <w:gridCol w:w="109"/>
        <w:gridCol w:w="109"/>
        <w:gridCol w:w="109"/>
        <w:gridCol w:w="109"/>
        <w:gridCol w:w="231"/>
        <w:gridCol w:w="1133"/>
        <w:gridCol w:w="181"/>
      </w:tblGrid>
      <w:tr>
        <w:trPr/>
        <w:tc>
          <w:tcPr>
            <w:tcW w:w="2188"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except unit amounts)</w:t>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at cost:</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2,408,914 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10,942,418 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costs and construction in progress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890,143 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Leasehold improvements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14,346,555 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 and amortization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(4,191,075)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net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10,150,197 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10,155,480 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671,308 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lease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840,850 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and other receivables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partially owned entities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1,941,278 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Receivable arising from the straight-lining of rents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Deferred leasing costs, net of accumulated amortization of $242,589 and $233,448</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374,620 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Identified intangible assets, net of accumulated amortization of $85,206 and $81,962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15,611,168 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15,521,118 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REDEEMABLE NONCONTROLLING INTERESTS AND EQUITY</w:t>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Mortgages payable,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4,920,669 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747,202 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revolving credit facilities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720,420 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376,190 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341,359 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8,716,595 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units - 16,653,539 and 16,650,713 units outstanding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D cumulative redeemable preferred units - 141,400 units outstanding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redeemable noncontrolling partnership units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557,671 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in a consolidated subsidiary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redeemable noncontrolling interests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647,951 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Partners' equity:</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Partners'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9,478,335 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less than distributions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(3,491,603)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partners'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5,986,727 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consolidated subsidiaries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6,156,572 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15,611,168 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15,521,118 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24"/>
        <w:gridCol w:w="1415"/>
        <w:gridCol w:w="1425"/>
        <w:gridCol w:w="219"/>
        <w:gridCol w:w="825"/>
        <w:gridCol w:w="121"/>
        <w:gridCol w:w="121"/>
        <w:gridCol w:w="121"/>
        <w:gridCol w:w="121"/>
        <w:gridCol w:w="219"/>
        <w:gridCol w:w="825"/>
        <w:gridCol w:w="121"/>
        <w:gridCol w:w="109"/>
        <w:gridCol w:w="109"/>
        <w:gridCol w:w="109"/>
        <w:gridCol w:w="208"/>
        <w:gridCol w:w="785"/>
        <w:gridCol w:w="115"/>
        <w:gridCol w:w="115"/>
        <w:gridCol w:w="115"/>
        <w:gridCol w:w="115"/>
        <w:gridCol w:w="208"/>
        <w:gridCol w:w="785"/>
        <w:gridCol w:w="175"/>
      </w:tblGrid>
      <w:tr>
        <w:trPr/>
        <w:tc>
          <w:tcPr>
            <w:tcW w:w="172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except per unit amounts)</w:t>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revenues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804,257 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787,007 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and other income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903,016 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(223,649)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(444,088)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(115,574)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(231,729)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 from deferred compensation plan liability</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related costs and other</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(436,633)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(378,744)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(845,380)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(757,190)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partially owned entities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investment income,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deferred compensation plan assets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debt expense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debt extinguishment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sales-type lease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disposition of wholly owned and partially owned assets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42,767 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817,350 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924,367 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913,051 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 in consolidated subsidiaries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Vornado Realty L.P.</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824,208 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934,465 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unit distributions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Class A unitholders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808,654 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903,356 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PER CLASS A UNIT - BASIC:</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Class A unit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units outstanding</w:t>
            </w:r>
          </w:p>
        </w:tc>
        <w:tc>
          <w:tcPr>
            <w:tcW w:w="10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201,703 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205,809 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203,045 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205,785 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PER CLASS A UNIT - DILUTED:</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Class A unit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units outstanding</w:t>
            </w:r>
          </w:p>
        </w:tc>
        <w:tc>
          <w:tcPr>
            <w:tcW w:w="104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208,625 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214,891 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203,045 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215,032 </w:t>
            </w:r>
          </w:p>
        </w:tc>
        <w:tc>
          <w:tcPr>
            <w:tcW w:w="1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15"/>
        <w:gridCol w:w="1436"/>
        <w:gridCol w:w="1438"/>
        <w:gridCol w:w="221"/>
        <w:gridCol w:w="732"/>
        <w:gridCol w:w="123"/>
        <w:gridCol w:w="123"/>
        <w:gridCol w:w="123"/>
        <w:gridCol w:w="123"/>
        <w:gridCol w:w="221"/>
        <w:gridCol w:w="834"/>
        <w:gridCol w:w="123"/>
        <w:gridCol w:w="109"/>
        <w:gridCol w:w="109"/>
        <w:gridCol w:w="109"/>
        <w:gridCol w:w="211"/>
        <w:gridCol w:w="699"/>
        <w:gridCol w:w="117"/>
        <w:gridCol w:w="117"/>
        <w:gridCol w:w="117"/>
        <w:gridCol w:w="117"/>
        <w:gridCol w:w="211"/>
        <w:gridCol w:w="796"/>
        <w:gridCol w:w="181"/>
      </w:tblGrid>
      <w:tr>
        <w:trPr/>
        <w:tc>
          <w:tcPr>
            <w:tcW w:w="181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813,227 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consolidated interest rate hedges and other</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of nonconsolidated subsidiaries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68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Comprehensive income </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794,479 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860,658 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(income) loss attributable to noncontrolling interests in consolidated subsidiaries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Vornado Realty L.P.</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44,712 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805,584 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51,975 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882,383 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722" w:type="dxa"/>
        <w:jc w:val="center"/>
        <w:tblInd w:w="0" w:type="dxa"/>
        <w:tblLayout w:type="fixed"/>
        <w:tblCellMar>
          <w:top w:w="28" w:type="dxa"/>
          <w:left w:w="28" w:type="dxa"/>
          <w:bottom w:w="28" w:type="dxa"/>
          <w:right w:w="28" w:type="dxa"/>
        </w:tblCellMar>
      </w:tblPr>
      <w:tblGrid>
        <w:gridCol w:w="818"/>
        <w:gridCol w:w="138"/>
        <w:gridCol w:w="140"/>
        <w:gridCol w:w="109"/>
        <w:gridCol w:w="109"/>
        <w:gridCol w:w="109"/>
        <w:gridCol w:w="285"/>
        <w:gridCol w:w="286"/>
        <w:gridCol w:w="151"/>
        <w:gridCol w:w="109"/>
        <w:gridCol w:w="109"/>
        <w:gridCol w:w="109"/>
        <w:gridCol w:w="181"/>
        <w:gridCol w:w="766"/>
        <w:gridCol w:w="109"/>
        <w:gridCol w:w="109"/>
        <w:gridCol w:w="109"/>
        <w:gridCol w:w="109"/>
        <w:gridCol w:w="323"/>
        <w:gridCol w:w="323"/>
        <w:gridCol w:w="151"/>
        <w:gridCol w:w="109"/>
        <w:gridCol w:w="109"/>
        <w:gridCol w:w="109"/>
        <w:gridCol w:w="181"/>
        <w:gridCol w:w="766"/>
        <w:gridCol w:w="109"/>
        <w:gridCol w:w="109"/>
        <w:gridCol w:w="109"/>
        <w:gridCol w:w="109"/>
        <w:gridCol w:w="181"/>
        <w:gridCol w:w="766"/>
        <w:gridCol w:w="109"/>
        <w:gridCol w:w="109"/>
        <w:gridCol w:w="109"/>
        <w:gridCol w:w="109"/>
        <w:gridCol w:w="230"/>
        <w:gridCol w:w="726"/>
        <w:gridCol w:w="140"/>
        <w:gridCol w:w="109"/>
        <w:gridCol w:w="109"/>
        <w:gridCol w:w="109"/>
        <w:gridCol w:w="217"/>
        <w:gridCol w:w="777"/>
        <w:gridCol w:w="132"/>
        <w:gridCol w:w="109"/>
        <w:gridCol w:w="109"/>
        <w:gridCol w:w="109"/>
        <w:gridCol w:w="181"/>
        <w:gridCol w:w="76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Accumulated</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Other</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Comprehensive</w:t>
            </w:r>
          </w:p>
          <w:p>
            <w:pPr>
              <w:pStyle w:val="TableContents"/>
              <w:bidi w:val="0"/>
              <w:spacing w:lineRule="auto" w:line="240" w:before="0" w:after="0"/>
              <w:jc w:val="center"/>
              <w:rPr/>
            </w:pPr>
            <w:r>
              <w:rPr>
                <w:color w:val="000000"/>
              </w:rPr>
              <w:t> </w:t>
            </w:r>
            <w:r>
              <w:rPr>
                <w:rFonts w:ascii="Times New Roman;serif" w:hAnsi="Times New Roman;serif"/>
                <w:b/>
                <w:color w:val="000000"/>
                <w:sz w:val="15"/>
              </w:rPr>
              <w:t>Income</w:t>
            </w:r>
            <w:r>
              <w:rPr>
                <w:color w:val="EE272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A Units</w:t>
              <w:br/>
              <w:t>Owned by Vornado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w:t>
              <w:br/>
              <w:t>Less Than</w:t>
              <w:b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For the 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188,098 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8,414,664 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(3,594,200)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164,742 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6,182,772 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Vornado Realty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33,448 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redeemable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(1,489)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nonredeemable 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Distributions to preferred unitholders (see Note 11 for distributions per unit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Class A units issued to Vornado upon redemption of redeemable Class A units, at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Series A preferred units to Class A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Class A units owned by Vornado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of nonconsolidated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consolidated interest rate hedges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Class A unit measurement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(215,599)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186,721 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8,210,253 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(3,631,204)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26,033 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175,697 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5,963,284 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722" w:type="dxa"/>
        <w:jc w:val="left"/>
        <w:tblInd w:w="0" w:type="dxa"/>
        <w:tblLayout w:type="fixed"/>
        <w:tblCellMar>
          <w:top w:w="28" w:type="dxa"/>
          <w:left w:w="28" w:type="dxa"/>
          <w:bottom w:w="28" w:type="dxa"/>
          <w:right w:w="28" w:type="dxa"/>
        </w:tblCellMar>
      </w:tblPr>
      <w:tblGrid>
        <w:gridCol w:w="779"/>
        <w:gridCol w:w="158"/>
        <w:gridCol w:w="159"/>
        <w:gridCol w:w="109"/>
        <w:gridCol w:w="109"/>
        <w:gridCol w:w="109"/>
        <w:gridCol w:w="285"/>
        <w:gridCol w:w="286"/>
        <w:gridCol w:w="151"/>
        <w:gridCol w:w="109"/>
        <w:gridCol w:w="109"/>
        <w:gridCol w:w="109"/>
        <w:gridCol w:w="181"/>
        <w:gridCol w:w="766"/>
        <w:gridCol w:w="109"/>
        <w:gridCol w:w="109"/>
        <w:gridCol w:w="109"/>
        <w:gridCol w:w="109"/>
        <w:gridCol w:w="323"/>
        <w:gridCol w:w="323"/>
        <w:gridCol w:w="151"/>
        <w:gridCol w:w="109"/>
        <w:gridCol w:w="109"/>
        <w:gridCol w:w="109"/>
        <w:gridCol w:w="181"/>
        <w:gridCol w:w="766"/>
        <w:gridCol w:w="109"/>
        <w:gridCol w:w="109"/>
        <w:gridCol w:w="109"/>
        <w:gridCol w:w="109"/>
        <w:gridCol w:w="181"/>
        <w:gridCol w:w="766"/>
        <w:gridCol w:w="109"/>
        <w:gridCol w:w="109"/>
        <w:gridCol w:w="109"/>
        <w:gridCol w:w="109"/>
        <w:gridCol w:w="230"/>
        <w:gridCol w:w="726"/>
        <w:gridCol w:w="140"/>
        <w:gridCol w:w="109"/>
        <w:gridCol w:w="109"/>
        <w:gridCol w:w="109"/>
        <w:gridCol w:w="217"/>
        <w:gridCol w:w="777"/>
        <w:gridCol w:w="132"/>
        <w:gridCol w:w="109"/>
        <w:gridCol w:w="109"/>
        <w:gridCol w:w="109"/>
        <w:gridCol w:w="181"/>
        <w:gridCol w:w="766"/>
        <w:gridCol w:w="154"/>
      </w:tblGrid>
      <w:tr>
        <w:trPr/>
        <w:tc>
          <w:tcPr>
            <w:tcW w:w="7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2881" w:type="dxa"/>
            <w:gridSpan w:val="12"/>
            <w:tcBorders/>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A Units</w:t>
              <w:br/>
              <w:t>Owned by Vornado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w:t>
              <w:br/>
              <w:t>Less Than</w:t>
              <w:b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 xml:space="preserve">For the Three Months Ended </w:t>
            </w:r>
          </w:p>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color w:val="000000"/>
                <w:sz w:val="15"/>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191,949 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8,160,185 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(4,055,415)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175,851 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5,489,969 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Vornado Realty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824,208 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redeemable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(64,863)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 attributable to nonredeemable 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Distributions to preferred unitholders (see Note 11 for distributions per unit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Class A units issued to Vornado upon redemption of redeemable Class A units, at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 of nonconsolidated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(3,668)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consolidated interest rate hedges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(15,080)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(15,080)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Class A unit measurement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192,041 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8,211,463 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(3,311,586)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9,857 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171,863 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6,263,961 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jc w:val="center"/>
        <w:rPr/>
      </w:pPr>
      <w:r>
        <w:rPr/>
      </w:r>
    </w:p>
    <w:tbl>
      <w:tblPr>
        <w:tblW w:w="11722" w:type="dxa"/>
        <w:jc w:val="center"/>
        <w:tblInd w:w="0" w:type="dxa"/>
        <w:tblLayout w:type="fixed"/>
        <w:tblCellMar>
          <w:top w:w="28" w:type="dxa"/>
          <w:left w:w="28" w:type="dxa"/>
          <w:bottom w:w="28" w:type="dxa"/>
          <w:right w:w="28" w:type="dxa"/>
        </w:tblCellMar>
      </w:tblPr>
      <w:tblGrid>
        <w:gridCol w:w="818"/>
        <w:gridCol w:w="138"/>
        <w:gridCol w:w="140"/>
        <w:gridCol w:w="109"/>
        <w:gridCol w:w="109"/>
        <w:gridCol w:w="109"/>
        <w:gridCol w:w="285"/>
        <w:gridCol w:w="286"/>
        <w:gridCol w:w="151"/>
        <w:gridCol w:w="109"/>
        <w:gridCol w:w="109"/>
        <w:gridCol w:w="109"/>
        <w:gridCol w:w="181"/>
        <w:gridCol w:w="766"/>
        <w:gridCol w:w="109"/>
        <w:gridCol w:w="109"/>
        <w:gridCol w:w="109"/>
        <w:gridCol w:w="109"/>
        <w:gridCol w:w="323"/>
        <w:gridCol w:w="323"/>
        <w:gridCol w:w="151"/>
        <w:gridCol w:w="109"/>
        <w:gridCol w:w="109"/>
        <w:gridCol w:w="109"/>
        <w:gridCol w:w="181"/>
        <w:gridCol w:w="766"/>
        <w:gridCol w:w="109"/>
        <w:gridCol w:w="109"/>
        <w:gridCol w:w="109"/>
        <w:gridCol w:w="109"/>
        <w:gridCol w:w="181"/>
        <w:gridCol w:w="766"/>
        <w:gridCol w:w="109"/>
        <w:gridCol w:w="109"/>
        <w:gridCol w:w="109"/>
        <w:gridCol w:w="109"/>
        <w:gridCol w:w="230"/>
        <w:gridCol w:w="726"/>
        <w:gridCol w:w="140"/>
        <w:gridCol w:w="109"/>
        <w:gridCol w:w="109"/>
        <w:gridCol w:w="109"/>
        <w:gridCol w:w="217"/>
        <w:gridCol w:w="777"/>
        <w:gridCol w:w="132"/>
        <w:gridCol w:w="109"/>
        <w:gridCol w:w="109"/>
        <w:gridCol w:w="109"/>
        <w:gridCol w:w="181"/>
        <w:gridCol w:w="76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A Units</w:t>
              <w:br/>
              <w:t>Owned by Vornado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w:t>
              <w:br/>
              <w:t>Less Than</w:t>
              <w:b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190,666 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169,845 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6,156,572 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Vornado Realty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 attributable to redeemable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nonredeemable 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Distributions to preferred unitholders (see Note 11 for distributions per unit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Class A units issued to Vornado upon redemption of redeemable Class A units, at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of Class A units owned by Vornado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(133,396)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Series A preferred units to Class A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of nonconsolidated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consolidated interest rate hedges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Class A unit measurement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(102,097)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186,721 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8,210,253 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(3,631,204)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26,033 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175,697 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5,963,284 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22" w:type="dxa"/>
        <w:jc w:val="center"/>
        <w:tblInd w:w="0" w:type="dxa"/>
        <w:tblLayout w:type="fixed"/>
        <w:tblCellMar>
          <w:top w:w="28" w:type="dxa"/>
          <w:left w:w="28" w:type="dxa"/>
          <w:bottom w:w="28" w:type="dxa"/>
          <w:right w:w="28" w:type="dxa"/>
        </w:tblCellMar>
      </w:tblPr>
      <w:tblGrid>
        <w:gridCol w:w="818"/>
        <w:gridCol w:w="138"/>
        <w:gridCol w:w="140"/>
        <w:gridCol w:w="109"/>
        <w:gridCol w:w="109"/>
        <w:gridCol w:w="109"/>
        <w:gridCol w:w="285"/>
        <w:gridCol w:w="286"/>
        <w:gridCol w:w="151"/>
        <w:gridCol w:w="109"/>
        <w:gridCol w:w="109"/>
        <w:gridCol w:w="109"/>
        <w:gridCol w:w="181"/>
        <w:gridCol w:w="766"/>
        <w:gridCol w:w="109"/>
        <w:gridCol w:w="109"/>
        <w:gridCol w:w="109"/>
        <w:gridCol w:w="109"/>
        <w:gridCol w:w="323"/>
        <w:gridCol w:w="323"/>
        <w:gridCol w:w="151"/>
        <w:gridCol w:w="109"/>
        <w:gridCol w:w="109"/>
        <w:gridCol w:w="109"/>
        <w:gridCol w:w="181"/>
        <w:gridCol w:w="766"/>
        <w:gridCol w:w="109"/>
        <w:gridCol w:w="109"/>
        <w:gridCol w:w="109"/>
        <w:gridCol w:w="109"/>
        <w:gridCol w:w="181"/>
        <w:gridCol w:w="766"/>
        <w:gridCol w:w="109"/>
        <w:gridCol w:w="109"/>
        <w:gridCol w:w="109"/>
        <w:gridCol w:w="109"/>
        <w:gridCol w:w="230"/>
        <w:gridCol w:w="726"/>
        <w:gridCol w:w="140"/>
        <w:gridCol w:w="109"/>
        <w:gridCol w:w="109"/>
        <w:gridCol w:w="109"/>
        <w:gridCol w:w="217"/>
        <w:gridCol w:w="777"/>
        <w:gridCol w:w="132"/>
        <w:gridCol w:w="109"/>
        <w:gridCol w:w="109"/>
        <w:gridCol w:w="109"/>
        <w:gridCol w:w="181"/>
        <w:gridCol w:w="76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A Units</w:t>
              <w:br/>
              <w:t>Owned by Vornado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Earnings</w:t>
              <w:br/>
              <w:t>Less Than</w:t>
              <w:b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5"/>
              </w:rPr>
            </w:pPr>
            <w:r>
              <w:rPr>
                <w:rFonts w:ascii="Times New Roman;serif" w:hAnsi="Times New Roman;serif"/>
                <w:b/>
                <w:color w:val="000000"/>
                <w:sz w:val="15"/>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190,847 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8,060,427 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(4,142,249)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57,700 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178,969 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5,337,211 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Vornado Realty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934,465 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attributable to redeemable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(72,752)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 attributable to nonredeemable 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(6,988)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Distributions to preferred unitholders (see Note 11 for distributions per unit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Class A units issued to Vornado: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Upon redemption of redeemable Class A units, at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48,578 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Under Vornado’s employees’ share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 of nonconsolidated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(11,251)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(11,251)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fair value of consolidated interest rate hedges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Class A unit measurement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48,789 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1,182,364 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192,041 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8,211,463 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(3,311,586)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9,857 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171,863 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6,263,961 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75" w:type="dxa"/>
        <w:jc w:val="left"/>
        <w:tblInd w:w="0" w:type="dxa"/>
        <w:tblLayout w:type="fixed"/>
        <w:tblCellMar>
          <w:top w:w="28" w:type="dxa"/>
          <w:left w:w="28" w:type="dxa"/>
          <w:bottom w:w="28" w:type="dxa"/>
          <w:right w:w="28" w:type="dxa"/>
        </w:tblCellMar>
      </w:tblPr>
      <w:tblGrid>
        <w:gridCol w:w="2348"/>
        <w:gridCol w:w="2063"/>
        <w:gridCol w:w="2069"/>
        <w:gridCol w:w="223"/>
        <w:gridCol w:w="738"/>
        <w:gridCol w:w="124"/>
        <w:gridCol w:w="124"/>
        <w:gridCol w:w="124"/>
        <w:gridCol w:w="124"/>
        <w:gridCol w:w="223"/>
        <w:gridCol w:w="840"/>
        <w:gridCol w:w="175"/>
      </w:tblGrid>
      <w:tr>
        <w:trPr/>
        <w:tc>
          <w:tcPr>
            <w:tcW w:w="234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913,051 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(including amortization of deferred financing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241,538 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income of partially owned entities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(113,648)</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of income from partially owned entities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54,205 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Straight-lining of rents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(19,706)</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debt extinguishment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13,541 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deferred tax liability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below-market leases,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interest rate cap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lease payment (net of initial direct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901,409 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sales-type lease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disposition of wholly owned and partially owned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(24,039)</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and other receivables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(48,632)</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(39,498)</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(20,388)</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1,078,946 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partially owned entities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(16,967)</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real estate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(22,771)</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real estate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(152,513)</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repayment of loan receivable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costs and construction in progress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(82,064)</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real estate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of capital from partially owned entities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partial redemption of Fifth Avenue and Times Square JV preferred equity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749,000 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condominium units and ancillary amenities at 220 Central Park South</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(498,647)</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525,155 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pStyle w:val="TextBody"/>
        <w:bidi w:val="0"/>
        <w:spacing w:before="140" w:after="283"/>
        <w:jc w:val="center"/>
        <w:rPr/>
      </w:pPr>
      <w:r>
        <w:rPr/>
      </w:r>
    </w:p>
    <w:p>
      <w:pPr>
        <w:pStyle w:val="TextBody"/>
        <w:bidi w:val="0"/>
        <w:spacing w:before="140" w:after="283"/>
        <w:jc w:val="center"/>
        <w:rPr/>
      </w:pPr>
      <w:r>
        <w:rPr/>
      </w:r>
    </w:p>
    <w:p>
      <w:pPr>
        <w:pStyle w:val="TextBody"/>
        <w:bidi w:val="0"/>
        <w:spacing w:before="1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04" w:type="dxa"/>
        <w:jc w:val="center"/>
        <w:tblInd w:w="0" w:type="dxa"/>
        <w:tblLayout w:type="fixed"/>
        <w:tblCellMar>
          <w:top w:w="28" w:type="dxa"/>
          <w:left w:w="28" w:type="dxa"/>
          <w:bottom w:w="28" w:type="dxa"/>
          <w:right w:w="28" w:type="dxa"/>
        </w:tblCellMar>
      </w:tblPr>
      <w:tblGrid>
        <w:gridCol w:w="2566"/>
        <w:gridCol w:w="2253"/>
        <w:gridCol w:w="2261"/>
        <w:gridCol w:w="196"/>
        <w:gridCol w:w="871"/>
        <w:gridCol w:w="109"/>
        <w:gridCol w:w="109"/>
        <w:gridCol w:w="109"/>
        <w:gridCol w:w="109"/>
        <w:gridCol w:w="196"/>
        <w:gridCol w:w="871"/>
        <w:gridCol w:w="154"/>
      </w:tblGrid>
      <w:tr>
        <w:trPr/>
        <w:tc>
          <w:tcPr>
            <w:tcW w:w="256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(1,278,232)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A units owned by Vornado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preferred unitholders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redeemable security holders and noncontrolling interests in consolidated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 in consolidated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(1,190,422)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949,619 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and Cash Equivalents and Restricted Cash:</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733,947 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1,204,863 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at end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 interest (excluding capitalized interest) and interest rate cap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Information:</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Class A unit measurement adjustment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fully depreciated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Forgiveness of mortgage principal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 included in accounts payable and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consolidated interest rate hedges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assets and liabilities resulting from the derecognition of 770 Broadway: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arising from the straight-lining of rents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leasing costs, net of accumulated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    Organization </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Vornado Realty Trust (“Vornado”) is a fully-integrated real estate investment trust (“REIT”) and conducts its business through, and substantially all of its interests in properties are held by, Vornado Realty L.P. (the “Operating Partnership”), a Delaware limited partnership. Vornado is the sole general partner of and owned approximately 91.2% of the common limited partnership interest in the Operating Partnership as of June 30, 2026. All references to the “Company,” “we,” “us” and “our” mean, collectively, Vornado, the Operating Partnership and those subsidiaries consolidated by Vornado.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 xml:space="preserve">2.    Basis of Presentation </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are unaudited and include the accounts of Vornado and the Operating Partnership and their consolidated subsidiaries. All adjustments (which include only normal recurring adjustments) necessary to present fairly the financial position, results of operations and changes in cash flows have been made. Certain information and footnote disclosures normally included in financial statements prepared in accordance with accounting principles generally accepted in the United States of America (“GAAP”) have been condensed or omitted. These consolidated financial statements have been prepared in accordance with the instructions to Form 10-Q of the Securities and Exchange Commission (“SEC”) and should be read in conjunction with the consolidated financial statements and notes thereto included in our Annual Report on Form 10-K for the year ended December 31, 2025, as filed with the SEC.</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made estimates and assumptions that affect the reported amounts of assets and liabilities, disclosure of contingent assets and liabilities at the date of the consolidated financial statements and the reported amounts of revenues and expenses during the reporting periods. Actual results could differ from those estimates. The results of operations for the three and six months ended June 30, 2026 are not necessarily indicative of the operating results for the full year. In addition, certain prior year balances have been reclassified in order to conform to the current period presentation.</w:t>
      </w:r>
    </w:p>
    <w:p>
      <w:pPr>
        <w:pStyle w:val="TextBody"/>
        <w:bidi w:val="0"/>
        <w:spacing w:lineRule="auto" w:line="288" w:before="0" w:after="60"/>
        <w:ind w:left="0" w:right="0" w:firstLine="360"/>
        <w:jc w:val="both"/>
        <w:rPr/>
      </w:pPr>
      <w:r>
        <w:rPr>
          <w:rFonts w:ascii="Times New Roman;serif" w:hAnsi="Times New Roman;serif"/>
          <w:b w:val="false"/>
          <w:color w:val="000000"/>
          <w:sz w:val="20"/>
        </w:rPr>
        <w:t xml:space="preserve">During the first quarter of 2026, the Company reclassified certain properties to our Other segment to align with changes in internal reporting used by the chief operating decision maker ("CODM") for assessing performance and allocating resources. Prior period segment disclosures have been recast to conform to the current presentation. These changes primarily impacted Note 4 -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and Note 19 - </w:t>
      </w:r>
      <w:r>
        <w:rPr>
          <w:rFonts w:ascii="Times New Roman;serif" w:hAnsi="Times New Roman;serif"/>
          <w:b w:val="false"/>
          <w:i/>
          <w:color w:val="000000"/>
          <w:sz w:val="20"/>
        </w:rPr>
        <w:t>Segment Information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3.    </w:t>
      </w:r>
      <w:bookmarkStart w:id="0" w:name="i9998b58355854398a3677e7fcedc80c2_2718"/>
      <w:bookmarkEnd w:id="0"/>
      <w:r>
        <w:rPr>
          <w:rFonts w:ascii="Times New Roman;serif" w:hAnsi="Times New Roman;serif"/>
          <w:b/>
          <w:color w:val="000000"/>
          <w:sz w:val="20"/>
        </w:rPr>
        <w:t xml:space="preserve">Recently Issued Accounting Literature </w:t>
      </w:r>
    </w:p>
    <w:p>
      <w:pPr>
        <w:pStyle w:val="TextBody"/>
        <w:bidi w:val="0"/>
        <w:spacing w:lineRule="auto" w:line="268" w:before="60" w:after="283"/>
        <w:ind w:left="0" w:right="0" w:firstLine="360"/>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(“ASU 2024-03”), and in January 2025, the FASB issued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color w:val="000000"/>
        </w:rPr>
        <w:t xml:space="preserve"> </w:t>
      </w:r>
      <w:r>
        <w:rPr>
          <w:rFonts w:ascii="Times New Roman;serif" w:hAnsi="Times New Roman;serif"/>
          <w:b w:val="false"/>
          <w:color w:val="000000"/>
          <w:sz w:val="20"/>
        </w:rPr>
        <w:t>("ASU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We are currently evaluating the impact of these standards on our consolidated financial statements.</w:t>
      </w:r>
    </w:p>
    <w:p>
      <w:pPr>
        <w:pStyle w:val="TextBody"/>
        <w:bidi w:val="0"/>
        <w:spacing w:lineRule="auto" w:line="268" w:before="60" w:after="283"/>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This ASU updates the cost capitalization threshold for internal-use software development costs by removing all references to software project development stages and providing new guidance on how to evaluate whether the probable-to-complete recognition threshold has been met. ASU 2025-06 is effective for all entities for annual reporting periods beginning after December 15, 2027, with early adoption permitted. Entities may apply the guidance prospectively, retrospectively, or via a modified prospective transition method. We are currently evaluating the impact of this standard on our consolidated financial statements.</w:t>
      </w:r>
    </w:p>
    <w:p>
      <w:pPr>
        <w:pStyle w:val="TextBody"/>
        <w:bidi w:val="0"/>
        <w:spacing w:lineRule="auto" w:line="268" w:before="60" w:after="283"/>
        <w:ind w:left="0" w:right="0" w:firstLine="360"/>
        <w:jc w:val="both"/>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Derivatives and Hedging (Topic 815)</w:t>
      </w:r>
      <w:r>
        <w:rPr>
          <w:rFonts w:ascii="Times New Roman;serif" w:hAnsi="Times New Roman;serif"/>
          <w:b w:val="false"/>
          <w:color w:val="000000"/>
          <w:sz w:val="20"/>
        </w:rPr>
        <w:t xml:space="preserve">: </w:t>
      </w:r>
      <w:r>
        <w:rPr>
          <w:rFonts w:ascii="Times New Roman;serif" w:hAnsi="Times New Roman;serif"/>
          <w:b w:val="false"/>
          <w:i/>
          <w:color w:val="000000"/>
          <w:sz w:val="20"/>
        </w:rPr>
        <w:t>Hedge Accounting Improvements</w:t>
      </w:r>
      <w:r>
        <w:rPr>
          <w:color w:val="000000"/>
        </w:rPr>
        <w:t xml:space="preserve"> </w:t>
      </w:r>
      <w:r>
        <w:rPr>
          <w:rFonts w:ascii="Times New Roman;serif" w:hAnsi="Times New Roman;serif"/>
          <w:b w:val="false"/>
          <w:color w:val="000000"/>
          <w:sz w:val="20"/>
        </w:rPr>
        <w:t>("ASU 2025-09"). This ASU amends the existing requirements to allow individual forecasted transactions to be hedged in a group if they have similar risk exposure and introduces an alternative model for the application of hedge accounting to cash flow hedges of forecasted interest payments on choose-your-rate ("CYR") debt instruments. Further, the ASU permits an entity to designate a variable price component of a forecasted purchase or sale of a nonfinancial asset if the component is clearly and closely related to the nonfinancial asset being purchased or sold. ASU 2025-09 is effective for all entities for annual reporting periods beginning after December 15, 2026, with early adoption permitted. We are currently evaluating the impact of this standard on our consolidated financial statements.</w:t>
      </w:r>
    </w:p>
    <w:p>
      <w:pPr>
        <w:pStyle w:val="TextBody"/>
        <w:bidi w:val="0"/>
        <w:spacing w:before="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 xml:space="preserve">4.    Revenue Recognition </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Below is a summary of our revenues by segment. Additional financial information related to these reportable segments for the three and six months ended June 30, 2026 and 2025 is set forth in Note 19 - </w:t>
      </w:r>
      <w:r>
        <w:rPr>
          <w:rFonts w:ascii="Times New Roman;serif" w:hAnsi="Times New Roman;serif"/>
          <w:b w:val="false"/>
          <w:i/>
          <w:color w:val="000000"/>
          <w:sz w:val="20"/>
        </w:rPr>
        <w:t>Segment Information.</w:t>
      </w:r>
    </w:p>
    <w:tbl>
      <w:tblPr>
        <w:tblW w:w="10205" w:type="dxa"/>
        <w:jc w:val="left"/>
        <w:tblInd w:w="0" w:type="dxa"/>
        <w:tblLayout w:type="fixed"/>
        <w:tblCellMar>
          <w:top w:w="28" w:type="dxa"/>
          <w:left w:w="28" w:type="dxa"/>
          <w:bottom w:w="28" w:type="dxa"/>
          <w:right w:w="28" w:type="dxa"/>
        </w:tblCellMar>
      </w:tblPr>
      <w:tblGrid>
        <w:gridCol w:w="778"/>
        <w:gridCol w:w="675"/>
        <w:gridCol w:w="678"/>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55"/>
      </w:tblGrid>
      <w:tr>
        <w:trPr/>
        <w:tc>
          <w:tcPr>
            <w:tcW w:w="7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New York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New York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rentals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shows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Sales-type lease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16"/>
              </w:rPr>
              <w:t>Lease revenues</w:t>
            </w:r>
            <w:r>
              <w:rPr>
                <w:rFonts w:ascii="Times New Roman;serif" w:hAnsi="Times New Roman;serif"/>
                <w:b/>
                <w:color w:val="000000"/>
                <w:sz w:val="10"/>
              </w:rPr>
              <w:t>(2)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Parking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Rental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BMS cleaning fees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(3)</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(3)</w:t>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and leasing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Fee and other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See notes below</w:t>
      </w:r>
    </w:p>
    <w:tbl>
      <w:tblPr>
        <w:tblW w:w="10205" w:type="dxa"/>
        <w:jc w:val="left"/>
        <w:tblInd w:w="0" w:type="dxa"/>
        <w:tblLayout w:type="fixed"/>
        <w:tblCellMar>
          <w:top w:w="28" w:type="dxa"/>
          <w:left w:w="28" w:type="dxa"/>
          <w:bottom w:w="28" w:type="dxa"/>
          <w:right w:w="28" w:type="dxa"/>
        </w:tblCellMar>
      </w:tblPr>
      <w:tblGrid>
        <w:gridCol w:w="747"/>
        <w:gridCol w:w="600"/>
        <w:gridCol w:w="60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56"/>
      </w:tblGrid>
      <w:tr>
        <w:trPr/>
        <w:tc>
          <w:tcPr>
            <w:tcW w:w="7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New York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New York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rentals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shows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Sales-type lease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16"/>
              </w:rPr>
              <w:t>Lease revenues</w:t>
            </w:r>
            <w:r>
              <w:rPr>
                <w:rFonts w:ascii="Times New Roman;serif" w:hAnsi="Times New Roman;serif"/>
                <w:b/>
                <w:color w:val="000000"/>
                <w:sz w:val="10"/>
              </w:rPr>
              <w:t>(2)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Parking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Rental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BMS cleaning fees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(3)</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and leasing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Fee and other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 xml:space="preserve">We have recast certain prior period disclosures to reflect changes to the property composition of our reportable segments. See Note 2 - </w:t>
      </w:r>
      <w:r>
        <w:rPr>
          <w:rFonts w:ascii="Times New Roman;serif" w:hAnsi="Times New Roman;serif"/>
          <w:b w:val="false"/>
          <w:i/>
          <w:color w:val="000000"/>
          <w:sz w:val="16"/>
        </w:rPr>
        <w:t>Basis of Presentation</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The components of lease revenues were as follows:</w:t>
      </w:r>
    </w:p>
    <w:tbl>
      <w:tblPr>
        <w:tblW w:w="8790" w:type="dxa"/>
        <w:jc w:val="left"/>
        <w:tblInd w:w="0" w:type="dxa"/>
        <w:tblLayout w:type="fixed"/>
        <w:tblCellMar>
          <w:top w:w="28" w:type="dxa"/>
          <w:left w:w="28" w:type="dxa"/>
          <w:bottom w:w="28" w:type="dxa"/>
          <w:right w:w="28" w:type="dxa"/>
        </w:tblCellMar>
      </w:tblPr>
      <w:tblGrid>
        <w:gridCol w:w="1057"/>
        <w:gridCol w:w="931"/>
        <w:gridCol w:w="936"/>
        <w:gridCol w:w="231"/>
        <w:gridCol w:w="871"/>
        <w:gridCol w:w="128"/>
        <w:gridCol w:w="128"/>
        <w:gridCol w:w="128"/>
        <w:gridCol w:w="128"/>
        <w:gridCol w:w="231"/>
        <w:gridCol w:w="871"/>
        <w:gridCol w:w="128"/>
        <w:gridCol w:w="109"/>
        <w:gridCol w:w="109"/>
        <w:gridCol w:w="109"/>
        <w:gridCol w:w="215"/>
        <w:gridCol w:w="810"/>
        <w:gridCol w:w="119"/>
        <w:gridCol w:w="119"/>
        <w:gridCol w:w="119"/>
        <w:gridCol w:w="119"/>
        <w:gridCol w:w="215"/>
        <w:gridCol w:w="810"/>
        <w:gridCol w:w="169"/>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billings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691,923 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690,139 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billings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65,393 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contractual operating lease billings</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366,582 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766,789 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755,532 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Sales-type lease income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revenues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389,369 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368,176 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771,856 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757,126 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Represents the elimination of Building Maintenance Services LLC ("BMS") cleaning fees related to THE MART and 555 California Street which are included as income in the New York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5.    Investments in Partially Owned Entities</w:t>
      </w:r>
    </w:p>
    <w:p>
      <w:pPr>
        <w:pStyle w:val="TextBody"/>
        <w:bidi w:val="0"/>
        <w:spacing w:lineRule="auto" w:line="288" w:before="60" w:after="283"/>
        <w:ind w:left="0" w:right="0" w:firstLine="360"/>
        <w:jc w:val="both"/>
        <w:rPr/>
      </w:pPr>
      <w:bookmarkStart w:id="1" w:name="id06ddc574244429c91631a33ab8f6f27_4215"/>
      <w:bookmarkStart w:id="2" w:name="id06ddc574244429c91631a33ab8f6f27_4194"/>
      <w:bookmarkEnd w:id="1"/>
      <w:bookmarkEnd w:id="2"/>
      <w:r>
        <w:rPr>
          <w:rFonts w:ascii="Times New Roman;serif" w:hAnsi="Times New Roman;serif"/>
          <w:b w:val="false"/>
          <w:i/>
          <w:color w:val="000000"/>
          <w:sz w:val="20"/>
        </w:rPr>
        <w:t>Fifth Avenue and Times Square JV</w:t>
      </w:r>
      <w:r>
        <w:rPr>
          <w:color w:val="000000"/>
        </w:rPr>
        <w:t xml:space="preserve">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own a 51.5% common interest in a joint venture ("Fifth Avenue and Times Square JV") which owns interests in properties located at 640 Fifth Avenue, 655 Fifth Avenue, 666 Fifth Avenue, 689 Fifth Avenue, 697-703 Fifth Avenue, 1535 Broadway and 1540 Broadway (collectively, the "Properties"). The remaining 48.5% common interest in the joint venture is owned by a group of institutional investors (the "Investors"). Our 51.5% common interest in the joint venture represents an effective 51.0% interest in the Properties. The 48.5% common interest in the joint venture owned by the Investors represents an effective 47.2% interest in the Properties. We provide various services to Fifth Avenue and Times Square JV in accordance with management, development, leasing and other agreements.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own $1.079 billion aggregate liquidation preference of preferred equity interests in certain of the properties. The preferred equity has an annual coupon of 4.75% through April 2029, and will then be based on a formulaic rate. It can be redeemed under certain conditions on a tax deferred basis.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carrying amount of our investment in the joint venture was less than our share of the equity in the net assets of the joint venture by approximately $700,993,000, the basis difference primarily resulting from non-cash impairment losses recognized in prior periods. Substantially all of this basis difference was allocated, based on our estimates of the fair values of Fifth Avenue and Times Square JV’s assets and liabilities, to real estate (land and buildings). We are amortizing the basis difference related to the buildings into earnings as a reduction to depreciation expense over their estimated useful lives.</w:t>
      </w:r>
    </w:p>
    <w:p>
      <w:pPr>
        <w:pStyle w:val="TextBody"/>
        <w:bidi w:val="0"/>
        <w:spacing w:lineRule="auto" w:line="288" w:before="60" w:after="283"/>
        <w:ind w:left="0" w:right="0" w:firstLine="360"/>
        <w:jc w:val="both"/>
        <w:rPr>
          <w:rFonts w:ascii="Times New Roman;serif" w:hAnsi="Times New Roman;serif"/>
          <w:b w:val="false"/>
          <w:i/>
          <w:color w:val="000000"/>
          <w:sz w:val="20"/>
        </w:rPr>
      </w:pPr>
      <w:bookmarkStart w:id="3" w:name="id06ddc574244429c91631a33ab8f6f27_4216"/>
      <w:bookmarkEnd w:id="3"/>
      <w:r>
        <w:rPr>
          <w:rFonts w:ascii="Times New Roman;serif" w:hAnsi="Times New Roman;serif"/>
          <w:b w:val="false"/>
          <w:i/>
          <w:color w:val="000000"/>
          <w:sz w:val="20"/>
        </w:rPr>
        <w:t>Alexander's, Inc. ("Alexander's") (NYSE: ALX)</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own 1,654,068 Alexander’s common shares, or approximately 32.4% of Alexander’s common equity. We manage, develop and lease Alexander’s properties pursuant to agreements which expire in March of each year and are automatically renewable. In addition, wholly owned subsidiaries of Vornado provide cleaning, engineering, security, and garage management services to certain Alexander’s properties.</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As of June 30, 2026, the market value ("fair value" pursuant to ASC Topic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("ASC 820")) of our investment in Alexander’s, based on Alexander’s June 30, 2026 closing share price of $275.56, was $455,795,000, or $374,802,000 in excess of the carrying amount on our consolidated balance sheets. As of June 30, 2026, the carrying amount of our investment in Alexander’s, excluding amounts owed to us, exceeded our share of the equity in the net assets of Alexander’s by approximately $25,221,000. The majority of this basis difference resulted from the excess of our purchase price for the Alexander’s common stock acquired over the book value of Alexander’s net assets. Substantially all of this basis difference was allocated, based on our estimates of the fair values of Alexander’s assets and liabilities, to real estate (land and buildings). We are amortizing the basis difference related to the buildings into earnings as additional depreciation expense over their estimated useful lives. This depreciation is not material to our share of equity in Alexander’s net income.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28, 2026, Alexander’s completed the sale of its Rego Park I property for $235,500,000. As a result of the sale, we recognized our $44,329,000 share of the net gain and received a $2,355,000 sales commission paid by Alexander’s, of which $500,000 was paid to a third-party broker.</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Park Avenue Plaza</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11, 2026, we completed the purchase of a 49.0% interest in Park Avenue Plaza at a gross asset valuation of $1.1 billion ($950 per square foot). We acquired our interest subject to our share of the $575,000,000 loan encumbering the property, resulting in a cash purchase price of approximately $230,000,000, net of seller credits and inclusive of transaction costs. The loan bears interest at a fixed rate of 2.99% and matures in November 2031.</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Park Avenue Plaza is a 45-story, 1.2 million rentable square foot building located at 55 East 52nd Street. The office building, co-owned by Fisher Brothers, has protected Park Avenue views and occupies the full through-block between East 52nd and East 53rd Street.</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Fisher Brothers retains its current 51.0% ownership interest and continues to manage and lease the property. Vornado and Fisher Brothers have joint control over major decisions.</w:t>
      </w:r>
    </w:p>
    <w:p>
      <w:pPr>
        <w:pStyle w:val="TextBody"/>
        <w:bidi w:val="0"/>
        <w:spacing w:before="60" w:after="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5.    Investments in Partially Owned Entities - continued</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7 West 34th Street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23, 2026, a joint venture, in which we have a 53.0% interest, completed a $250,000,000 refinancing of 7 West 34th Street, a 477,000 square foot Manhattan office and retail building. The non-recourse, five-year interest-only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distributions.</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 xml:space="preserve">825 Seventh Avenue Office Condominium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The non-recourse interest-only loan bears interest at a rate of SOFR plus 2.75% and matures in October 2026, with a fifteen-month extension option subject to loan-to-value and debt yield requirements.</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61 Ninth Avenue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8, 2026, a joint venture, in which we have a 45.1% interest, completed a $161,000,000 refinancing of 61 Ninth Avenue. The interest-only mortgage loan matures in June 2028, with a nine-month extension option subject to certain conditions, and bears interest at SOFR plus 3.00% in year one, SOFR plus 3.35% for year two, and SOFR plus 3.85% during the extension period. The refinancing replaced the joint venture’s prior $167,500,000 mortgage loan on the property. On February 2, 2026, the joint venture extended the prior loan’s maturity by seven months and simultaneously paid down the principal balance by $12,500,000 to $155,000,000. </w:t>
      </w:r>
    </w:p>
    <w:p>
      <w:pPr>
        <w:pStyle w:val="TextBody"/>
        <w:bidi w:val="0"/>
        <w:spacing w:lineRule="auto" w:line="288" w:before="18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schedule summarizing our investments in partially owned entities.</w:t>
      </w:r>
    </w:p>
    <w:tbl>
      <w:tblPr>
        <w:tblW w:w="10205" w:type="dxa"/>
        <w:jc w:val="left"/>
        <w:tblInd w:w="0" w:type="dxa"/>
        <w:tblLayout w:type="fixed"/>
        <w:tblCellMar>
          <w:top w:w="28" w:type="dxa"/>
          <w:left w:w="28" w:type="dxa"/>
          <w:bottom w:w="28" w:type="dxa"/>
          <w:right w:w="28" w:type="dxa"/>
        </w:tblCellMar>
      </w:tblPr>
      <w:tblGrid>
        <w:gridCol w:w="1536"/>
        <w:gridCol w:w="1318"/>
        <w:gridCol w:w="1323"/>
        <w:gridCol w:w="905"/>
        <w:gridCol w:w="905"/>
        <w:gridCol w:w="908"/>
        <w:gridCol w:w="109"/>
        <w:gridCol w:w="109"/>
        <w:gridCol w:w="109"/>
        <w:gridCol w:w="196"/>
        <w:gridCol w:w="871"/>
        <w:gridCol w:w="109"/>
        <w:gridCol w:w="109"/>
        <w:gridCol w:w="109"/>
        <w:gridCol w:w="109"/>
        <w:gridCol w:w="237"/>
        <w:gridCol w:w="1053"/>
        <w:gridCol w:w="190"/>
      </w:tblGrid>
      <w:tr>
        <w:trPr/>
        <w:tc>
          <w:tcPr>
            <w:tcW w:w="153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7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Ownership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Investments:</w:t>
            </w:r>
          </w:p>
        </w:tc>
        <w:tc>
          <w:tcPr>
            <w:tcW w:w="2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Fifth Avenue and Times Square JV (see page </w:t>
            </w:r>
            <w:hyperlink w:anchor="id06ddc574244429c91631a33ab8f6f27_4215">
              <w:r>
                <w:rPr>
                  <w:rStyle w:val="InternetLink"/>
                  <w:rFonts w:ascii="Times New Roman;serif" w:hAnsi="Times New Roman;serif"/>
                  <w:b w:val="false"/>
                  <w:strike w:val="false"/>
                  <w:dstrike w:val="false"/>
                  <w:color w:val="000000"/>
                  <w:sz w:val="16"/>
                  <w:u w:val="none"/>
                  <w:effect w:val="none"/>
                </w:rPr>
                <w:t>22</w:t>
              </w:r>
            </w:hyperlink>
            <w:r>
              <w:rPr>
                <w:rFonts w:ascii="Times New Roman;serif" w:hAnsi="Times New Roman;serif"/>
                <w:b w:val="false"/>
                <w:color w:val="000000"/>
                <w:sz w:val="16"/>
              </w:rPr>
              <w:t xml:space="preserve"> for details) </w:t>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1,538,141 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Partially owned office buildings/land</w:t>
            </w:r>
            <w:r>
              <w:rPr>
                <w:rFonts w:ascii="Times New Roman;serif" w:hAnsi="Times New Roman;serif"/>
                <w:b/>
                <w:color w:val="000000"/>
                <w:sz w:val="10"/>
              </w:rPr>
              <w:t>(1)</w:t>
            </w:r>
          </w:p>
        </w:tc>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Alexander's (see page </w:t>
            </w:r>
            <w:hyperlink w:anchor="id06ddc574244429c91631a33ab8f6f27_4216">
              <w:r>
                <w:rPr>
                  <w:rStyle w:val="InternetLink"/>
                  <w:rFonts w:ascii="Times New Roman;serif" w:hAnsi="Times New Roman;serif"/>
                  <w:b w:val="false"/>
                  <w:strike w:val="false"/>
                  <w:dstrike w:val="false"/>
                  <w:color w:val="000000"/>
                  <w:sz w:val="16"/>
                  <w:u w:val="none"/>
                  <w:effect w:val="none"/>
                </w:rPr>
                <w:t>22</w:t>
              </w:r>
            </w:hyperlink>
            <w:r>
              <w:rPr>
                <w:rFonts w:ascii="Times New Roman;serif" w:hAnsi="Times New Roman;serif"/>
                <w:b w:val="false"/>
                <w:color w:val="000000"/>
                <w:sz w:val="16"/>
              </w:rPr>
              <w:t xml:space="preserve"> for details):</w:t>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investments</w:t>
            </w:r>
            <w:r>
              <w:rPr>
                <w:rFonts w:ascii="Times New Roman;serif" w:hAnsi="Times New Roman;serif"/>
                <w:b/>
                <w:color w:val="000000"/>
                <w:sz w:val="10"/>
              </w:rPr>
              <w:t>(2)</w:t>
            </w:r>
          </w:p>
        </w:tc>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206,903 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1,941,278 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Investments in partially owned entities included in other liabilities</w:t>
            </w:r>
            <w:r>
              <w:rPr>
                <w:rFonts w:ascii="Times New Roman;serif" w:hAnsi="Times New Roman;serif"/>
                <w:b/>
                <w:color w:val="000000"/>
                <w:sz w:val="10"/>
              </w:rPr>
              <w:t>(3)</w:t>
            </w:r>
            <w:r>
              <w:rPr>
                <w:rFonts w:ascii="Times New Roman;serif" w:hAnsi="Times New Roman;serif"/>
                <w:b/>
                <w:color w:val="000000"/>
                <w:sz w:val="16"/>
              </w:rPr>
              <w:t>:</w:t>
            </w:r>
          </w:p>
        </w:tc>
        <w:tc>
          <w:tcPr>
            <w:tcW w:w="2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 West 34th Street</w:t>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(65,726)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85 Tenth Avenue</w:t>
            </w:r>
          </w:p>
        </w:tc>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(90,924)</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Includes interests in 280 Park Avenue, Park Avenue Plaza, 61 Ninth Avenue and others.</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Includes interests in Independence Plaza, Sunset Pier 94 Joint Venture (“Pier 94 JV”), Rosslyn Plaza and others.</w:t>
      </w:r>
    </w:p>
    <w:p>
      <w:pPr>
        <w:pStyle w:val="TextBody"/>
        <w:bidi w:val="0"/>
        <w:spacing w:lineRule="auto" w:line="288" w:before="0" w:after="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Our negative basis results from distributions in excess of 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5.    Investments in Partially Owned Entities - continued</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schedule of income from partially owned entities.</w:t>
      </w:r>
    </w:p>
    <w:tbl>
      <w:tblPr>
        <w:tblW w:w="10205" w:type="dxa"/>
        <w:jc w:val="left"/>
        <w:tblInd w:w="0" w:type="dxa"/>
        <w:tblLayout w:type="fixed"/>
        <w:tblCellMar>
          <w:top w:w="28" w:type="dxa"/>
          <w:left w:w="28" w:type="dxa"/>
          <w:bottom w:w="28" w:type="dxa"/>
          <w:right w:w="28" w:type="dxa"/>
        </w:tblCellMar>
      </w:tblPr>
      <w:tblGrid>
        <w:gridCol w:w="997"/>
        <w:gridCol w:w="750"/>
        <w:gridCol w:w="753"/>
        <w:gridCol w:w="641"/>
        <w:gridCol w:w="641"/>
        <w:gridCol w:w="643"/>
        <w:gridCol w:w="109"/>
        <w:gridCol w:w="109"/>
        <w:gridCol w:w="109"/>
        <w:gridCol w:w="219"/>
        <w:gridCol w:w="725"/>
        <w:gridCol w:w="122"/>
        <w:gridCol w:w="122"/>
        <w:gridCol w:w="122"/>
        <w:gridCol w:w="122"/>
        <w:gridCol w:w="219"/>
        <w:gridCol w:w="725"/>
        <w:gridCol w:w="122"/>
        <w:gridCol w:w="109"/>
        <w:gridCol w:w="109"/>
        <w:gridCol w:w="109"/>
        <w:gridCol w:w="208"/>
        <w:gridCol w:w="687"/>
        <w:gridCol w:w="115"/>
        <w:gridCol w:w="115"/>
        <w:gridCol w:w="115"/>
        <w:gridCol w:w="115"/>
        <w:gridCol w:w="208"/>
        <w:gridCol w:w="783"/>
        <w:gridCol w:w="115"/>
        <w:gridCol w:w="167"/>
      </w:tblGrid>
      <w:tr>
        <w:trPr/>
        <w:tc>
          <w:tcPr>
            <w:tcW w:w="99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1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Ownership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Our share of net income (loss):</w:t>
            </w:r>
          </w:p>
        </w:tc>
        <w:tc>
          <w:tcPr>
            <w:tcW w:w="1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Fifth Avenue and Times Square JV (see page </w:t>
            </w:r>
            <w:hyperlink w:anchor="id06ddc574244429c91631a33ab8f6f27_4215">
              <w:r>
                <w:rPr>
                  <w:rStyle w:val="InternetLink"/>
                  <w:rFonts w:ascii="Times New Roman;serif" w:hAnsi="Times New Roman;serif"/>
                  <w:b w:val="false"/>
                  <w:strike w:val="false"/>
                  <w:dstrike w:val="false"/>
                  <w:color w:val="000000"/>
                  <w:sz w:val="16"/>
                  <w:u w:val="none"/>
                  <w:effect w:val="none"/>
                </w:rPr>
                <w:t>22</w:t>
              </w:r>
            </w:hyperlink>
            <w:r>
              <w:rPr>
                <w:rFonts w:ascii="Times New Roman;serif" w:hAnsi="Times New Roman;serif"/>
                <w:b w:val="false"/>
                <w:color w:val="000000"/>
                <w:sz w:val="16"/>
              </w:rPr>
              <w:t xml:space="preserve"> for details):</w:t>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income</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preferred equity, net of our share of the expense</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gain on sale </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Alexander's (see page </w:t>
            </w:r>
            <w:hyperlink w:anchor="id06ddc574244429c91631a33ab8f6f27_4216">
              <w:r>
                <w:rPr>
                  <w:rStyle w:val="InternetLink"/>
                  <w:rFonts w:ascii="Times New Roman;serif" w:hAnsi="Times New Roman;serif"/>
                  <w:b w:val="false"/>
                  <w:strike w:val="false"/>
                  <w:dstrike w:val="false"/>
                  <w:color w:val="000000"/>
                  <w:sz w:val="16"/>
                  <w:u w:val="none"/>
                  <w:effect w:val="none"/>
                </w:rPr>
                <w:t>22</w:t>
              </w:r>
            </w:hyperlink>
            <w:r>
              <w:rPr>
                <w:rFonts w:ascii="Times New Roman;serif" w:hAnsi="Times New Roman;serif"/>
                <w:b w:val="false"/>
                <w:color w:val="000000"/>
                <w:sz w:val="16"/>
              </w:rPr>
              <w:t xml:space="preserve"> for details):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income</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leasing and development fees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sale</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Partially owned office buildings</w:t>
            </w:r>
            <w:r>
              <w:rPr>
                <w:rFonts w:ascii="Times New Roman;serif" w:hAnsi="Times New Roman;serif"/>
                <w:b/>
                <w:color w:val="000000"/>
                <w:sz w:val="10"/>
              </w:rPr>
              <w:t>(1)</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investments</w:t>
            </w:r>
            <w:r>
              <w:rPr>
                <w:rFonts w:ascii="Times New Roman;serif" w:hAnsi="Times New Roman;serif"/>
                <w:b/>
                <w:color w:val="000000"/>
                <w:sz w:val="10"/>
              </w:rPr>
              <w:t>(2)</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63,195 </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16,671 </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76,017 </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113,648 </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color w:val="000000"/>
          <w:sz w:val="12"/>
        </w:rPr>
      </w:pPr>
      <w:r>
        <w:rPr>
          <w:rFonts w:ascii="Times New Roman;serif" w:hAnsi="Times New Roman;serif"/>
          <w:b/>
          <w:color w:val="000000"/>
          <w:sz w:val="12"/>
        </w:rPr>
        <w:t>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Includes interests in 280 Park Avenue, Park Avenue Plaza, 7 West 34th Street, 61 Ninth Avenue, 85 Tenth Avenue and others.</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Includes interests in Independence Plaza, Pier 94 JV, Rosslyn Plaza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ind w:left="0" w:right="0" w:hanging="360"/>
        <w:jc w:val="left"/>
        <w:rPr>
          <w:rFonts w:ascii="Times New Roman;serif" w:hAnsi="Times New Roman;serif"/>
          <w:b/>
          <w:color w:val="000000"/>
          <w:sz w:val="20"/>
        </w:rPr>
      </w:pPr>
      <w:r>
        <w:rPr>
          <w:rFonts w:ascii="Times New Roman;serif" w:hAnsi="Times New Roman;serif"/>
          <w:b/>
          <w:color w:val="000000"/>
          <w:sz w:val="20"/>
        </w:rPr>
        <w:t>6. Acquisitions</w:t>
      </w:r>
    </w:p>
    <w:p>
      <w:pPr>
        <w:pStyle w:val="TextBody"/>
        <w:bidi w:val="0"/>
        <w:spacing w:lineRule="auto" w:line="288" w:before="60" w:after="283"/>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3 East 54th Street</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we acquired 3 East 54th Street, an asset situated on 18,400 square feet of land, for $141,000,000, which is included in “development costs and construction in progress” on our consolidated balance sheets. Previously, in July 2025, we purchased the $35,000,000 A-Note secured by the property at par plus accrued interest, and in August 2024, we purchased the $50,000,000 B-Note secured by the property. The A-Note and B-Note were in default. The $107,000,000 loan balance, including default interest and advances, was credited towards the purchase price.</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East 54th Street is located between Fifth Avenue and Madison Avenue on 54th Street, adjacent to the St. Regis Hotel and our Upper Fifth Avenue retail properties. The land is zoned for approximately 232,500 buildable square feet as-of-right, and we are in the process of demolishing the existing buildings on the 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7.    Dispositions</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606 Broadway</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14, 2026, a 50.0% owned consolidated joint venture completed the sale of 606 Broadway. The purchaser acquired the non-recourse mortgage loan, which was in maturity default, at a discount and paid the joint venture $3,000,000 in cash ($2,400,000 to Vornado). The transaction resulted in a $32,073,000 gain on debt extinguishment, of which $15,932,000 is attributable to noncontrolling interests. The property was previously impaired in the fourth quarter of 2023, and had a carrying value of $52,073,000 as of the sale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 xml:space="preserve">8.    Identified Intangible Assets and Liabilities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identified intangible assets (primarily in-place and above-market leases) and liabilities (primarily below-market leases).</w:t>
      </w:r>
    </w:p>
    <w:tbl>
      <w:tblPr>
        <w:tblW w:w="7391" w:type="dxa"/>
        <w:jc w:val="left"/>
        <w:tblInd w:w="0" w:type="dxa"/>
        <w:tblLayout w:type="fixed"/>
        <w:tblCellMar>
          <w:top w:w="28" w:type="dxa"/>
          <w:left w:w="28" w:type="dxa"/>
          <w:bottom w:w="28" w:type="dxa"/>
          <w:right w:w="28" w:type="dxa"/>
        </w:tblCellMar>
      </w:tblPr>
      <w:tblGrid>
        <w:gridCol w:w="1593"/>
        <w:gridCol w:w="1397"/>
        <w:gridCol w:w="1404"/>
        <w:gridCol w:w="212"/>
        <w:gridCol w:w="796"/>
        <w:gridCol w:w="117"/>
        <w:gridCol w:w="109"/>
        <w:gridCol w:w="109"/>
        <w:gridCol w:w="109"/>
        <w:gridCol w:w="279"/>
        <w:gridCol w:w="1047"/>
        <w:gridCol w:w="219"/>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Balance as of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intangible assets: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amount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amortization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(81,962)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110,593 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Identified intangible liabilities (included in other liabilities):</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amount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amortization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(113,271)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below-market leases, net of acquired above-market leases, resulted in an increase to rental revenues of $135,000 and $96,000 for the three months ended June 30, 2026 and 2025, respectively, and $236,000 and $184,000 for the six months ended June 30, 2026 and 2025, respectively.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all other identified intangible assets (a component of depreciation and amortization expense) was $1,418,000 and $1,422,000 for the three months ended June 30, 2026 and 2025, respectively, and $2,837,000 and $2,873,000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60" w:after="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888 Seventh Avenue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10, 2025, the $244,543,000 non-recourse mortgage loan on 888 Seventh Avenue matured and was not repaid, at which time the lenders declared an event of default. On March 9, 2026, we entered into a forbearance agreement pursuant to which the lenders agreed to forbear from exercising their remedies and waived default interest through March 2027. During the forbearance period, regularly scheduled interest and required monthly amortization payments continue to accrue, but payment is deferred until the expiration or earlier termination of the forbearance period, at which time such amounts become due and payable. </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2031 Revolving Credit Facility</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2026, we completed a $1.105 billion refinancing of one of our two revolving credit facilities. On February 4, 2026, the facility was upsized to $1.130 billion. The $1.130 billion amended facility currently bears interest at a rate of SOFR plus 1.01% and is scheduled to mature in February 2031 (as fully extended). The facility fee is 24 basis points. The facility replaced the previous $1.25 billion revolving credit facility which was scheduled to mature in December 2027. </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2029 Revolving Credit Facility</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we upsized our $915,000,000 revolving credit facility that matures in April 2029 (as fully extended) to $1.0 billion. The credit facility currently bears interest at a rate of SOFR plus 1.16% and has a facility fee of 24 basis points.</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 xml:space="preserve">Unsecured Term Loan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we completed a refinancing of our unsecured term loan and upsized the loan amount to $850,000,000. The loan bears interest at SOFR plus 1.15% and matures in February 2031 (as fully extended). The loan replaced the previous $800,000,000 term loan which bore interest at SOFR plus 1.25% and was scheduled to mature in December 2027.</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 Due 2033</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was used to repay our $400,000,000 senior unsecured notes at their June 2026 maturity.</w:t>
      </w:r>
    </w:p>
    <w:p>
      <w:pPr>
        <w:pStyle w:val="TextBody"/>
        <w:bidi w:val="0"/>
        <w:spacing w:lineRule="auto" w:line="288" w:before="60" w:after="6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One Park Avenue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60"/>
        <w:ind w:left="0" w:right="0" w:hanging="720"/>
        <w:jc w:val="both"/>
        <w:rPr>
          <w:rFonts w:ascii="Times New Roman;serif" w:hAnsi="Times New Roman;serif"/>
          <w:b/>
          <w:color w:val="000000"/>
          <w:sz w:val="20"/>
        </w:rPr>
      </w:pPr>
      <w:r>
        <w:rPr>
          <w:rFonts w:ascii="Times New Roman;serif" w:hAnsi="Times New Roman;serif"/>
          <w:b/>
          <w:color w:val="000000"/>
          <w:sz w:val="20"/>
        </w:rPr>
        <w:t>9.    Debt - continued</w:t>
      </w:r>
    </w:p>
    <w:p>
      <w:pPr>
        <w:pStyle w:val="TextBody"/>
        <w:bidi w:val="0"/>
        <w:spacing w:lineRule="auto" w:line="288" w:before="60" w:after="6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350 Park Avenue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10, 2026, an affiliate of Kenneth C. Griffin (“KG”) provided a $400,000,000 mortgage loan secured by 350 Park Avenue, the proceeds of which were used to defease the existing $400,000,000 mortgage loan in connection with the site’s development. The new interest-only loan bears interest at a fixed rate of 4.00% and matures in January 2027. Concurrently, and in connection with the planned development, Citadel Enterprise Americas LLC vacated the building and assigned its existing master lease to an affiliate of KG as tenant, and the lease was amended to provide for net rent of $16,000,000 per annum, equal to the interest payments under the new mortgage loan.</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 Due 2026</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We repaid our $400,000,000 2.15% senior unsecured notes on their June 1, 2026 maturity date.</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debt:</w:t>
      </w:r>
    </w:p>
    <w:tbl>
      <w:tblPr>
        <w:tblW w:w="10205" w:type="dxa"/>
        <w:jc w:val="center"/>
        <w:tblInd w:w="0" w:type="dxa"/>
        <w:tblLayout w:type="fixed"/>
        <w:tblCellMar>
          <w:top w:w="28" w:type="dxa"/>
          <w:left w:w="28" w:type="dxa"/>
          <w:bottom w:w="28" w:type="dxa"/>
          <w:right w:w="28" w:type="dxa"/>
        </w:tblCellMar>
      </w:tblPr>
      <w:tblGrid>
        <w:gridCol w:w="1021"/>
        <w:gridCol w:w="896"/>
        <w:gridCol w:w="899"/>
        <w:gridCol w:w="445"/>
        <w:gridCol w:w="445"/>
        <w:gridCol w:w="445"/>
        <w:gridCol w:w="445"/>
        <w:gridCol w:w="445"/>
        <w:gridCol w:w="445"/>
        <w:gridCol w:w="445"/>
        <w:gridCol w:w="445"/>
        <w:gridCol w:w="445"/>
        <w:gridCol w:w="109"/>
        <w:gridCol w:w="109"/>
        <w:gridCol w:w="109"/>
        <w:gridCol w:w="196"/>
        <w:gridCol w:w="871"/>
        <w:gridCol w:w="109"/>
        <w:gridCol w:w="109"/>
        <w:gridCol w:w="109"/>
        <w:gridCol w:w="109"/>
        <w:gridCol w:w="247"/>
        <w:gridCol w:w="1101"/>
        <w:gridCol w:w="206"/>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4005"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Interest Rate as of June 30, 2026</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w:t>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Mortgages Payable:</w:t>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Fixed rate</w:t>
            </w:r>
            <w:r>
              <w:rPr>
                <w:rFonts w:ascii="Times New Roman;serif" w:hAnsi="Times New Roman;serif"/>
                <w:b/>
                <w:color w:val="000000"/>
                <w:sz w:val="10"/>
              </w:rPr>
              <w:t>(2)</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4.98%</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Variable rate</w:t>
            </w:r>
            <w:r>
              <w:rPr>
                <w:rFonts w:ascii="Times New Roman;serif" w:hAnsi="Times New Roman;serif"/>
                <w:b/>
                <w:color w:val="000000"/>
                <w:sz w:val="10"/>
              </w:rPr>
              <w:t>(3)</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1,529,037 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4,869,543 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4,944,037 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 net and other</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4,920,669 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Unsecured Debt:</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 net and other</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 net</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747,202 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4.20%</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 net and other</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 net</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797,337 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revolving credit facilities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4.07%</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720,420 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2,599,970 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2,264,959 </w:t>
            </w:r>
          </w:p>
        </w:tc>
        <w:tc>
          <w:tcPr>
            <w:tcW w:w="2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 xml:space="preserve">Represents the interest rate in effect as of period end based on the appropriate reference rate as of the contractual reset date plus contractual spread, adjusted for hedging instruments, as applicable. See Note 15 - </w:t>
      </w:r>
      <w:r>
        <w:rPr>
          <w:rFonts w:ascii="Times New Roman;serif" w:hAnsi="Times New Roman;serif"/>
          <w:b w:val="false"/>
          <w:i/>
          <w:color w:val="000000"/>
          <w:sz w:val="16"/>
        </w:rPr>
        <w:t>Fair Value Measurements</w:t>
      </w:r>
      <w:r>
        <w:rPr>
          <w:color w:val="000000"/>
        </w:rPr>
        <w:t xml:space="preserve"> </w:t>
      </w:r>
      <w:r>
        <w:rPr>
          <w:rFonts w:ascii="Times New Roman;serif" w:hAnsi="Times New Roman;serif"/>
          <w:b w:val="false"/>
          <w:color w:val="000000"/>
          <w:sz w:val="16"/>
        </w:rPr>
        <w:t>for further information on our consolidated hedging instruments.</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Includes variable rate mortgages with interest rates fixed by interest rate swap arrangements.</w:t>
      </w:r>
    </w:p>
    <w:p>
      <w:pPr>
        <w:pStyle w:val="TextBody"/>
        <w:bidi w:val="0"/>
        <w:spacing w:lineRule="auto" w:line="288" w:before="0" w:after="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Includes variable rate mortgages subject to interest rate cap arrangements. As of June 30, 2026, $1,285,000 of our variable rate debt is subject to interest rate cap arrangements, of which $645,000 is attributable to noncontrolling interests. The interest rate cap arrangements have a weighted average SOFR strike rate of 4.22% and a weighted average remaining term of seven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ind w:left="0" w:right="0" w:hanging="360"/>
        <w:jc w:val="left"/>
        <w:rPr>
          <w:rFonts w:ascii="Times New Roman;serif" w:hAnsi="Times New Roman;serif"/>
          <w:b/>
          <w:color w:val="000000"/>
          <w:sz w:val="20"/>
        </w:rPr>
      </w:pPr>
      <w:r>
        <w:rPr>
          <w:rFonts w:ascii="Times New Roman;serif" w:hAnsi="Times New Roman;serif"/>
          <w:b/>
          <w:color w:val="000000"/>
          <w:sz w:val="20"/>
        </w:rPr>
        <w:t>10.    Redeemable Noncontrolling Interests</w:t>
      </w:r>
    </w:p>
    <w:p>
      <w:pPr>
        <w:pStyle w:val="TextBody"/>
        <w:bidi w:val="0"/>
        <w:spacing w:lineRule="auto" w:line="288" w:before="0" w:after="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Redeemable Noncontrolling Partnership Units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Redeemable noncontrolling partnership units are primarily comprised of Class A Operating Partnership units held by third parties and are recorded at the greater of their carrying amount or redemption value at the end of each reporting period. Changes in the value from period to period are charged to “additional capital” in Vornado’s consolidated statements of changes in equity and to “partners’ capital” on the consolidated balance sheets of the Operating Partnership.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a distribution made to a Class A unitholder is equal to the dividend paid to a Vornado common shareholder.</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table summarizing the activity of redeemable noncontrolling partnership units.</w:t>
      </w:r>
    </w:p>
    <w:tbl>
      <w:tblPr>
        <w:tblW w:w="10205" w:type="dxa"/>
        <w:jc w:val="left"/>
        <w:tblInd w:w="0" w:type="dxa"/>
        <w:tblLayout w:type="fixed"/>
        <w:tblCellMar>
          <w:top w:w="28" w:type="dxa"/>
          <w:left w:w="28" w:type="dxa"/>
          <w:bottom w:w="28" w:type="dxa"/>
          <w:right w:w="28" w:type="dxa"/>
        </w:tblCellMar>
      </w:tblPr>
      <w:tblGrid>
        <w:gridCol w:w="1687"/>
        <w:gridCol w:w="1406"/>
        <w:gridCol w:w="1410"/>
        <w:gridCol w:w="222"/>
        <w:gridCol w:w="837"/>
        <w:gridCol w:w="123"/>
        <w:gridCol w:w="123"/>
        <w:gridCol w:w="123"/>
        <w:gridCol w:w="123"/>
        <w:gridCol w:w="222"/>
        <w:gridCol w:w="837"/>
        <w:gridCol w:w="123"/>
        <w:gridCol w:w="109"/>
        <w:gridCol w:w="109"/>
        <w:gridCol w:w="109"/>
        <w:gridCol w:w="210"/>
        <w:gridCol w:w="791"/>
        <w:gridCol w:w="116"/>
        <w:gridCol w:w="116"/>
        <w:gridCol w:w="116"/>
        <w:gridCol w:w="116"/>
        <w:gridCol w:w="210"/>
        <w:gridCol w:w="791"/>
        <w:gridCol w:w="176"/>
      </w:tblGrid>
      <w:tr>
        <w:trPr/>
        <w:tc>
          <w:tcPr>
            <w:tcW w:w="168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711,943 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(loss) </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Class A units for Vornado common shares, at redemption value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Class A unit measurement adjustment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658,019 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642,465 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658,019 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642,465 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aggregate redemption value of redeemable Class A units of the Operating Partnership, which are those units held by third parties, was $654,484,000 and $554,136,000, respectively, based on Vornado’s quarter-end closing common share price.</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Redeemable noncontrolling partnership units exclude our Series G-1 through G-4 convertible preferred units and Series D-13 cumulative redeemable preferred units, as they are accounted for as liabilities in accordance with ASC Topic 480, </w:t>
      </w:r>
      <w:r>
        <w:rPr>
          <w:rFonts w:ascii="Times New Roman;serif" w:hAnsi="Times New Roman;serif"/>
          <w:b w:val="false"/>
          <w:i/>
          <w:color w:val="000000"/>
          <w:sz w:val="20"/>
        </w:rPr>
        <w:t>Distinguishing Liabilities and Equity</w:t>
      </w:r>
      <w:r>
        <w:rPr>
          <w:rFonts w:ascii="Times New Roman;serif" w:hAnsi="Times New Roman;serif"/>
          <w:b w:val="false"/>
          <w:color w:val="000000"/>
          <w:sz w:val="20"/>
        </w:rPr>
        <w:t>. Accordingly, the fair value of these units is included as a component of “other liabilities” on our consolidated balance sheets and aggregated $49,571,000 and $49,465,000 as of June 30, 2026 and December 31, 2025, respectively. Changes in the value from period to period, if any, are charged to “interest and debt expense” on our consolidated statements of income.</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Redeemable Noncontrolling Interest in a Consolidated Subsidiary</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consolidated joint venture, in which we hold a 95% interest, developed and owns the Farley Building. As of June 30, 2026, a historic tax credit investor (the "Tax Credit Investor") has funded $209,661,000 of capital contributions in connection with the Farley Building development.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arrangement includes a put option whereby the joint venture may be obligated to purchase the Tax Credit Investor’s ownership interest in the Farley Building at a future date. The put price is calculated based on a pre-determined formula. As exercise of the put option is outside of the joint venture’s control, the Tax Credit Investor’s interest, together with the put option, have been recorded to “redeemable noncontrolling interest in a consolidated subsidiary” on our consolidated balance sheets. The redeemable noncontrolling interest is recorded at the greater of the carrying amount or redemption value at the end of each reporting period. Changes in the value from period to period are charged to “additional capital” in Vornado’s consolidated statements of changes in equity and to “partners’ capital” on the consolidated balance sheets of the Operating Partnership. There was no adjustment required for the three and six months ended June 30, 2026 and 2025.</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table summarizing the activity of the redeemable noncontrolling interest in a consolidated subsidiary.</w:t>
      </w:r>
    </w:p>
    <w:tbl>
      <w:tblPr>
        <w:tblW w:w="7655" w:type="dxa"/>
        <w:jc w:val="left"/>
        <w:tblInd w:w="0" w:type="dxa"/>
        <w:tblLayout w:type="fixed"/>
        <w:tblCellMar>
          <w:top w:w="28" w:type="dxa"/>
          <w:left w:w="28" w:type="dxa"/>
          <w:bottom w:w="28" w:type="dxa"/>
          <w:right w:w="28" w:type="dxa"/>
        </w:tblCellMar>
      </w:tblPr>
      <w:tblGrid>
        <w:gridCol w:w="647"/>
        <w:gridCol w:w="568"/>
        <w:gridCol w:w="570"/>
        <w:gridCol w:w="240"/>
        <w:gridCol w:w="794"/>
        <w:gridCol w:w="134"/>
        <w:gridCol w:w="134"/>
        <w:gridCol w:w="134"/>
        <w:gridCol w:w="134"/>
        <w:gridCol w:w="240"/>
        <w:gridCol w:w="904"/>
        <w:gridCol w:w="134"/>
        <w:gridCol w:w="109"/>
        <w:gridCol w:w="109"/>
        <w:gridCol w:w="109"/>
        <w:gridCol w:w="223"/>
        <w:gridCol w:w="738"/>
        <w:gridCol w:w="124"/>
        <w:gridCol w:w="124"/>
        <w:gridCol w:w="124"/>
        <w:gridCol w:w="124"/>
        <w:gridCol w:w="223"/>
        <w:gridCol w:w="840"/>
        <w:gridCol w:w="17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122,715 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75,668 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107,632 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75,668 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107,632 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ind w:left="0" w:right="0" w:hanging="360"/>
        <w:jc w:val="left"/>
        <w:rPr>
          <w:rFonts w:ascii="Times New Roman;serif" w:hAnsi="Times New Roman;serif"/>
          <w:b/>
          <w:color w:val="000000"/>
          <w:sz w:val="20"/>
        </w:rPr>
      </w:pPr>
      <w:r>
        <w:rPr>
          <w:rFonts w:ascii="Times New Roman;serif" w:hAnsi="Times New Roman;serif"/>
          <w:b/>
          <w:color w:val="000000"/>
          <w:sz w:val="20"/>
        </w:rPr>
        <w:t>11.    Shareholders' Equity/Partners' Capital</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dividends/distributions per common share/Class A unit and dividends/distributions per share/unit for each class of preferred shares/units of beneficial interest.</w:t>
      </w:r>
    </w:p>
    <w:tbl>
      <w:tblPr>
        <w:tblW w:w="10205" w:type="dxa"/>
        <w:jc w:val="left"/>
        <w:tblInd w:w="0" w:type="dxa"/>
        <w:tblLayout w:type="fixed"/>
        <w:tblCellMar>
          <w:top w:w="28" w:type="dxa"/>
          <w:left w:w="28" w:type="dxa"/>
          <w:bottom w:w="28" w:type="dxa"/>
          <w:right w:w="28" w:type="dxa"/>
        </w:tblCellMar>
      </w:tblPr>
      <w:tblGrid>
        <w:gridCol w:w="1799"/>
        <w:gridCol w:w="1493"/>
        <w:gridCol w:w="1493"/>
        <w:gridCol w:w="299"/>
        <w:gridCol w:w="597"/>
        <w:gridCol w:w="160"/>
        <w:gridCol w:w="160"/>
        <w:gridCol w:w="160"/>
        <w:gridCol w:w="160"/>
        <w:gridCol w:w="299"/>
        <w:gridCol w:w="597"/>
        <w:gridCol w:w="160"/>
        <w:gridCol w:w="109"/>
        <w:gridCol w:w="109"/>
        <w:gridCol w:w="109"/>
        <w:gridCol w:w="281"/>
        <w:gridCol w:w="560"/>
        <w:gridCol w:w="150"/>
        <w:gridCol w:w="150"/>
        <w:gridCol w:w="150"/>
        <w:gridCol w:w="150"/>
        <w:gridCol w:w="281"/>
        <w:gridCol w:w="560"/>
        <w:gridCol w:w="219"/>
      </w:tblGrid>
      <w:tr>
        <w:trPr/>
        <w:tc>
          <w:tcPr>
            <w:tcW w:w="179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share/unit)</w:t>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shares/Class A units held by Vornado: authorized 250,000,000 shares/units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Preferred shares/units</w:t>
            </w:r>
            <w:r>
              <w:rPr>
                <w:rFonts w:ascii="Times New Roman;serif" w:hAnsi="Times New Roman;serif"/>
                <w:b/>
                <w:color w:val="000000"/>
                <w:sz w:val="10"/>
              </w:rPr>
              <w:t>(1)</w:t>
            </w:r>
            <w:r>
              <w:rPr>
                <w:rFonts w:ascii="Times New Roman;serif" w:hAnsi="Times New Roman;serif"/>
                <w:b/>
                <w:color w:val="000000"/>
                <w:sz w:val="16"/>
              </w:rPr>
              <w: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preferred:</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6.50% Series A: authorized 7,838 and 9,180 shares/units</w:t>
            </w:r>
            <w:r>
              <w:rPr>
                <w:rFonts w:ascii="Times New Roman;serif" w:hAnsi="Times New Roman;serif"/>
                <w:b/>
                <w:color w:val="000000"/>
                <w:sz w:val="10"/>
              </w:rPr>
              <w:t>(2)</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0.8125 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0.8125 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Cumulative redeemable preferred</w:t>
            </w:r>
            <w:r>
              <w:rPr>
                <w:rFonts w:ascii="Times New Roman;serif" w:hAnsi="Times New Roman;serif"/>
                <w:b/>
                <w:color w:val="000000"/>
                <w:sz w:val="10"/>
              </w:rPr>
              <w:t>(3)</w:t>
            </w:r>
            <w:r>
              <w:rPr>
                <w:rFonts w:ascii="Times New Roman;serif" w:hAnsi="Times New Roman;serif"/>
                <w:b w:val="false"/>
                <w:color w:val="000000"/>
                <w:sz w:val="16"/>
              </w:rPr>
              <w: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5.40% Series L: authorized 13,800,000 shares/units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5.25% Series M: authorized 13,800,000 shares/units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0.6562 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5.25% Series N: authorized 12,000,000 shares/units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4.45% Series O: authorized 12,000,000 shares/units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0.5562 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 xml:space="preserve">Preferred share dividends/preferred unit distributions are cumulative and are payable quarterly in arrears. </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Redeemable at the option of Vornado under certain circumstances, at a redemption price of 1.9531 common shares/Class A units per Series A preferred share/unit plus accrued and unpaid dividends/distributions through the date of redemption, or convertible at any time at the option of the holder for 1.9531 common shares/Class A units per Series A preferred share/unit.</w:t>
      </w:r>
    </w:p>
    <w:p>
      <w:pPr>
        <w:pStyle w:val="TextBody"/>
        <w:bidi w:val="0"/>
        <w:spacing w:lineRule="auto" w:line="288" w:before="0" w:after="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Series L, Series M, and Series N preferred shares/units are redeemable at Vornado's option at a redemption price of $25.00 per share/unit, plus accrued and unpaid dividends/distributions through the date of redemption. Series O preferred shares/units are redeemable commencing September 2026 at a redemption price of $25.00 per share/unit.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pay a common share dividend for 2026 in December, subject to approval by our Board of Trustees.</w:t>
      </w:r>
    </w:p>
    <w:p>
      <w:pPr>
        <w:pStyle w:val="TextBody"/>
        <w:bidi w:val="0"/>
        <w:spacing w:lineRule="auto" w:line="288" w:before="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2023, our Board of Trustees authorized a share repurchase plan under which Vornado is authorized to repurchase up to $200,000,000 of its outstanding common shares. Subsequently, on April 29, 2026, our Board of Trustees authorized an additional $300,000,000 under the share repurchase plan. To the extent Vornado repurchases any of its common shares, in order to fund the common share repurchase and maintain the one-to-one ratio of the number of Vornado common shares outstanding and the number of Class A units owned by Vornado, the Operating Partnership will repurchase from Vornado an equal number of its Class A units at the same price.</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 repurchases may be made from time to time in the open market, through privately negotiated transactions or through other means as permitted by federal securities laws, including through block trades, accelerated share repurchase transactions and/or trading plans intended to qualify under Rule 10b5-1. The timing, manner, price and amount of any repurchases will be determined in Vornado’s discretion depending on business, economic and market conditions, corporate and regulatory requirements, prevailing prices for Vornado’s common shares, alternative uses for capital and other considerations. The plan does not have an expiration date and may be suspended or discontinued at any time and does not obligate Vornado to make any repurchases of its common shares.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Vornado repurchased 1,787,090 common shares for $53,461,000 at an average price per share of $29.92. In total, Vornado has repurchased 8,019,658 common shares at an average price per share of $26.61. The Operating Partnership repurchased Class A units from Vornado equivalent to the number and price of common shares repurchased by Vornado. As of June 30, 2026, $286,590,000 remained available for repurchases under the plan.</w:t>
      </w:r>
    </w:p>
    <w:p>
      <w:pPr>
        <w:pStyle w:val="TextBody"/>
        <w:bidi w:val="0"/>
        <w:spacing w:before="12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120" w:after="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2026 Omnibus Share Plan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21, 2026, our shareholders approved the 2026 Omnibus Share Plan (the “Plan”), which replaces the 2023 Omnibus Share Plan. Under the Plan, the Compensation Committee of Vornado’s Board of Trustees (the “Committee”) may grant incentive and nonqualified Vornado stock options, restricted Vornado common shares, restricted Operating Partnership units (“LTIP Units”), outperformance plan awards (“OPP Units”), appreciation-only long-term incentive plan units (“AO LTIP Units”), performance conditioned appreciation-only long-term incentive plan units (“Performance AO LTIP Units”), and long-term performance plan LTIP units (“LTPP Units”) to certain of our employees and officers. Awards may be granted up to a maximum of 8,000,000 shares, if all awards granted are Full Value awards, as defined in the Plan, and up to 16,000,000 shares, if all of the awards granted are Not Full Value Awards, as defined in the Plan. Full Value Awards are securities that have a value equivalent to the underlying Vornado common share or Class A unit of the Operating Partnership, such as restricted Vornado common shares or LTIP Units. Vornado stock options, AO LTIP Units and Performance AO LTIP Units are Not Full Value Awards; these securities require the payment of an exercise price.</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LTPP Units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LTPP Units are multi-year, LTIP units-based performance equity compensation plans. On March 2, 2026, the Compensation Committee approved the 2026 Long-Term Performance Plan (“2026 LTPP”). Awards under the 2026 LTPP are bifurcated between operational performance (75%) and relative performance (25%) measurements and may be earned at specified threshold, target and maximum levels.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operational component awards may be earned based on Vornado’s 2027 operational performance in FFO, as adjusted per share. Any LTPP award units tentatively earned based on Vornado’s 2027 operational performance are subject to an absolute return modifier pursuant to which such award units are subject to a potential reduction (but not increase) of up to 30% if Vornado’s three-year total shareholder return (“TSR”) is below specified levels.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Awards under relative components may be earned based on Vornado’s three-year TSR measured against a peer group custom index. Awards earned under the relative component of the 2026 LTPP are subject to reductions of up to 30% if Vornado’s three-year TSR is below specified levels.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designated performance objectives are achieved, awards earned under 2026 LTPP will vest 50% in March 2029 and 50% in March 2030. In addition, the Chief Executive Officer is required to hold any earned and vested awards for three years following each such vesting date and all other award recipients are required to hold such awards for one year following each such vesting date. Dividends on awards granted under the 2026 LTPP accrue during the applicable performance period and are paid to participants if awards are ultimately earned based on the achievement of the designated performance objectives.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LTPP Units granted during the six months ended June 30, 2026 had a grant date fair value of $18,711,000.</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summary of our stock-based compensation expense, a component of “general and administrative” expense on our consolidated statements of income.</w:t>
      </w:r>
    </w:p>
    <w:tbl>
      <w:tblPr>
        <w:tblW w:w="7968" w:type="dxa"/>
        <w:jc w:val="center"/>
        <w:tblInd w:w="0" w:type="dxa"/>
        <w:tblLayout w:type="fixed"/>
        <w:tblCellMar>
          <w:top w:w="28" w:type="dxa"/>
          <w:left w:w="28" w:type="dxa"/>
          <w:bottom w:w="28" w:type="dxa"/>
          <w:right w:w="28" w:type="dxa"/>
        </w:tblCellMar>
      </w:tblPr>
      <w:tblGrid>
        <w:gridCol w:w="759"/>
        <w:gridCol w:w="668"/>
        <w:gridCol w:w="673"/>
        <w:gridCol w:w="272"/>
        <w:gridCol w:w="773"/>
        <w:gridCol w:w="151"/>
        <w:gridCol w:w="151"/>
        <w:gridCol w:w="151"/>
        <w:gridCol w:w="151"/>
        <w:gridCol w:w="272"/>
        <w:gridCol w:w="773"/>
        <w:gridCol w:w="151"/>
        <w:gridCol w:w="109"/>
        <w:gridCol w:w="109"/>
        <w:gridCol w:w="109"/>
        <w:gridCol w:w="232"/>
        <w:gridCol w:w="767"/>
        <w:gridCol w:w="129"/>
        <w:gridCol w:w="129"/>
        <w:gridCol w:w="129"/>
        <w:gridCol w:w="129"/>
        <w:gridCol w:w="232"/>
        <w:gridCol w:w="767"/>
        <w:gridCol w:w="18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(Amounts in thousands)</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LTIP Units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Performance AO LTIP Units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LTPP Units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OPP Units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13.    </w:t>
      </w:r>
      <w:bookmarkStart w:id="4" w:name="idd9894808a9646d397988244ccb6d4f3_3071"/>
      <w:bookmarkEnd w:id="4"/>
      <w:r>
        <w:rPr>
          <w:rFonts w:ascii="Times New Roman;serif" w:hAnsi="Times New Roman;serif"/>
          <w:b/>
          <w:color w:val="000000"/>
          <w:sz w:val="20"/>
        </w:rPr>
        <w:t>Income (Loss) Per Share and Per Class A Unit</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Vornado Realty Trust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by dividing (i) net income (loss) attributable to common shareholders after allocation of dividends and undistributed earnings to participating securities by (ii) the weighted average number of common shares outstanding for the period. Diluted earnings per share reflects the dilutive impact of potential common shares and is computed after allocation of earnings to participating securities. Vornado’s participating securities include unvested restricted common shares. Employee stock options, OPP Units, AO LTIP Units, Performance AO LTIP Units and LTPP Units are included in the calculation of diluted income (loss) per share using the treasury stock method, if the effect is dilutive. Series A convertible preferred shares, Series G-1 through G-4 convertible preferred units, and Series D-13 redeemable preferred units are included in the calculation of diluted income (loss) per share using the if-converted method, if the effect is dilutive. Net income (loss) is allocated to redeemable Class A units of the Operating Partnership on a one-for-one basis with Vornado common shares. As such, redemption of these units for Vornado common shares would not have a dilutive effect on income (loss) per common share.</w:t>
      </w:r>
    </w:p>
    <w:tbl>
      <w:tblPr>
        <w:tblW w:w="10205" w:type="dxa"/>
        <w:jc w:val="left"/>
        <w:tblInd w:w="0" w:type="dxa"/>
        <w:tblLayout w:type="fixed"/>
        <w:tblCellMar>
          <w:top w:w="28" w:type="dxa"/>
          <w:left w:w="28" w:type="dxa"/>
          <w:bottom w:w="28" w:type="dxa"/>
          <w:right w:w="28" w:type="dxa"/>
        </w:tblCellMar>
      </w:tblPr>
      <w:tblGrid>
        <w:gridCol w:w="1775"/>
        <w:gridCol w:w="1469"/>
        <w:gridCol w:w="1479"/>
        <w:gridCol w:w="220"/>
        <w:gridCol w:w="726"/>
        <w:gridCol w:w="122"/>
        <w:gridCol w:w="122"/>
        <w:gridCol w:w="122"/>
        <w:gridCol w:w="122"/>
        <w:gridCol w:w="220"/>
        <w:gridCol w:w="827"/>
        <w:gridCol w:w="122"/>
        <w:gridCol w:w="109"/>
        <w:gridCol w:w="109"/>
        <w:gridCol w:w="109"/>
        <w:gridCol w:w="210"/>
        <w:gridCol w:w="696"/>
        <w:gridCol w:w="117"/>
        <w:gridCol w:w="117"/>
        <w:gridCol w:w="117"/>
        <w:gridCol w:w="117"/>
        <w:gridCol w:w="210"/>
        <w:gridCol w:w="792"/>
        <w:gridCol w:w="176"/>
      </w:tblGrid>
      <w:tr>
        <w:trPr/>
        <w:tc>
          <w:tcPr>
            <w:tcW w:w="177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except per share amounts)</w:t>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Numerator:</w:t>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16"/>
              </w:rPr>
              <w:t>Net</w:t>
            </w:r>
            <w:r>
              <w:rPr>
                <w:color w:val="EE2724"/>
              </w:rPr>
              <w:t xml:space="preserve"> </w:t>
            </w:r>
            <w:r>
              <w:rPr>
                <w:rFonts w:ascii="Times New Roman;serif" w:hAnsi="Times New Roman;serif"/>
                <w:b w:val="false"/>
                <w:color w:val="000000"/>
                <w:sz w:val="16"/>
              </w:rPr>
              <w:t>income attributable to Vornado</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759,345 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861,713 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 dividends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common shareholders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830,661 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and earnings allocated to unvested participating securities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Numerator for basic income (loss) per common share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830,661 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assumed conversion of dilutive convertible securities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Numerator for diluted income (loss) per common share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744,244 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831,396 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Denominator:</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 for basic income (loss) per common share - weighted average shares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Effect of dilutive securities</w:t>
            </w:r>
            <w:r>
              <w:rPr>
                <w:rFonts w:ascii="Times New Roman;serif" w:hAnsi="Times New Roman;serif"/>
                <w:b/>
                <w:color w:val="000000"/>
                <w:sz w:val="10"/>
              </w:rPr>
              <w:t>(1)</w:t>
            </w:r>
            <w:r>
              <w:rPr>
                <w:rFonts w:ascii="Times New Roman;serif" w:hAnsi="Times New Roman;serif"/>
                <w:b w:val="false"/>
                <w:color w:val="000000"/>
                <w:sz w:val="16"/>
              </w:rPr>
              <w:t>:</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payment awards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securities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 for diluted income (loss) per common share - weighted average shares and assumed conversions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PER COMMON SHARE:</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2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2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2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0" w:after="2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The calculation of diluted income (loss) per common share for the three and six months ended June 30, 2026 excluded weighted average potential common shares of 1,546 and 8,141, respectively, as their effect was antidilutive. For the three and six months ended June 30, 2025, there were no antidilutive potential common share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ind w:left="0" w:right="0" w:hanging="360"/>
        <w:jc w:val="left"/>
        <w:rPr>
          <w:rFonts w:ascii="Times New Roman;serif" w:hAnsi="Times New Roman;serif"/>
          <w:b/>
          <w:color w:val="000000"/>
          <w:sz w:val="20"/>
        </w:rPr>
      </w:pPr>
      <w:r>
        <w:rPr>
          <w:rFonts w:ascii="Times New Roman;serif" w:hAnsi="Times New Roman;serif"/>
          <w:b/>
          <w:color w:val="000000"/>
          <w:sz w:val="20"/>
        </w:rPr>
        <w:t>13.    Income (Loss) Per Share and Per Class A Unit - continued</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Vornado Realty L.P.</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Class A unit is computed by dividing (i) net income (loss) attributable to Class A unitholders after allocation of distributions and undistributed earnings to participating securities by (ii) the weighted average number of Class A units outstanding for the period. Diluted earnings per unit reflects the dilutive impact of potential Class A units and is computed after allocation of earnings to participating securities. Vornado Realty L.P.’s participating securities include unvested LTIP Units and LTPP Units for which the applicable performance vesting conditions were satisfied. Equity awards subject to market and/or performance vesting conditions, including Vornado stock options, OPP Units, AO LTIP Units, Performance AO LTIP Units and LTPP Units, are included in the calculation of diluted income (loss) per Class A unit using the treasury stock method, if the effect is dilutive. Convertible securities, including Series A convertible preferred units, Series G-1 through G-4 convertible preferred units, and Series D-13 redeemable preferred units, are included in the calculation of diluted income (loss) per Class A unit using the if-converted method, if the effect is dilutive.</w:t>
      </w:r>
    </w:p>
    <w:tbl>
      <w:tblPr>
        <w:tblW w:w="10205" w:type="dxa"/>
        <w:jc w:val="left"/>
        <w:tblInd w:w="0" w:type="dxa"/>
        <w:tblLayout w:type="fixed"/>
        <w:tblCellMar>
          <w:top w:w="28" w:type="dxa"/>
          <w:left w:w="28" w:type="dxa"/>
          <w:bottom w:w="28" w:type="dxa"/>
          <w:right w:w="28" w:type="dxa"/>
        </w:tblCellMar>
      </w:tblPr>
      <w:tblGrid>
        <w:gridCol w:w="1767"/>
        <w:gridCol w:w="1464"/>
        <w:gridCol w:w="1474"/>
        <w:gridCol w:w="220"/>
        <w:gridCol w:w="729"/>
        <w:gridCol w:w="123"/>
        <w:gridCol w:w="123"/>
        <w:gridCol w:w="123"/>
        <w:gridCol w:w="123"/>
        <w:gridCol w:w="220"/>
        <w:gridCol w:w="831"/>
        <w:gridCol w:w="123"/>
        <w:gridCol w:w="109"/>
        <w:gridCol w:w="109"/>
        <w:gridCol w:w="109"/>
        <w:gridCol w:w="211"/>
        <w:gridCol w:w="698"/>
        <w:gridCol w:w="117"/>
        <w:gridCol w:w="117"/>
        <w:gridCol w:w="117"/>
        <w:gridCol w:w="117"/>
        <w:gridCol w:w="211"/>
        <w:gridCol w:w="795"/>
        <w:gridCol w:w="175"/>
      </w:tblGrid>
      <w:tr>
        <w:trPr/>
        <w:tc>
          <w:tcPr>
            <w:tcW w:w="17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except per unit amounts)</w:t>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Numerator:</w:t>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0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Vornado Realty L.P.</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824,208 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934,465 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unit distributions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Class A unitholders</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808,654 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903,356 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and earnings allocated to unvested participating securities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Numerator for basic income (loss) per Class A unit</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890,712 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assumed conversion of dilutive convertible securities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Numerator for diluted income (loss) per Class A unit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797,807 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891,447 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Denominator:</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 for basic income (loss) per Class A unit - weighted average units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Effect of dilutive securities</w:t>
            </w:r>
            <w:r>
              <w:rPr>
                <w:rFonts w:ascii="Times New Roman;serif" w:hAnsi="Times New Roman;serif"/>
                <w:b/>
                <w:color w:val="000000"/>
                <w:sz w:val="10"/>
              </w:rPr>
              <w:t>(1)</w:t>
            </w:r>
            <w:r>
              <w:rPr>
                <w:rFonts w:ascii="Times New Roman;serif" w:hAnsi="Times New Roman;serif"/>
                <w:b w:val="false"/>
                <w:color w:val="000000"/>
                <w:sz w:val="16"/>
              </w:rPr>
              <w:t>:</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payment awards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securities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 for diluted income (loss) per Class A unit - weighted average units and assumed conversions</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203,045 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215,032 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PER CLASS A UNIT:</w:t>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0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2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2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2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7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0" w:after="2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The calculation of diluted income (loss) per Class A unit for the three and six months ended June 30, 2026 excluded weighted average potential Class A units of 1,546 and 8,141, respectively, as their effect was antidilutive. For the three and six months ended June 30, 2025, there were no antidilutive potential Class A unit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14.    Variable Interest Entities ("VIEs")</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Unconsolidated VIEs</w:t>
      </w:r>
    </w:p>
    <w:p>
      <w:pPr>
        <w:pStyle w:val="TextBody"/>
        <w:bidi w:val="0"/>
        <w:spacing w:lineRule="auto" w:line="288" w:before="60" w:after="283"/>
        <w:ind w:left="0" w:right="0" w:firstLine="360"/>
        <w:jc w:val="both"/>
        <w:rPr/>
      </w:pPr>
      <w:r>
        <w:rPr>
          <w:rFonts w:ascii="Times New Roman;serif" w:hAnsi="Times New Roman;serif"/>
          <w:b w:val="false"/>
          <w:color w:val="000000"/>
          <w:sz w:val="20"/>
        </w:rPr>
        <w:t>As of June 30, 2026 and December 31, 2025, we had several unconsolidated VIEs. We do not consolidate these entities because we are not the primary beneficiary and the nature of our involvement in the activities of these entities does not give us power over decisions that significantly affect these entities’ economic performance. We primarily account for our investment in these entities under the equity method (see Note 5 –</w:t>
      </w:r>
      <w:r>
        <w:rPr>
          <w:color w:val="000000"/>
        </w:rPr>
        <w:t xml:space="preserve"> </w:t>
      </w:r>
      <w:r>
        <w:rPr>
          <w:rFonts w:ascii="Times New Roman;serif" w:hAnsi="Times New Roman;serif"/>
          <w:b w:val="false"/>
          <w:i/>
          <w:color w:val="000000"/>
          <w:sz w:val="20"/>
        </w:rPr>
        <w:t>Investments in Partially Owned Entities</w:t>
      </w:r>
      <w:r>
        <w:rPr>
          <w:rFonts w:ascii="Times New Roman;serif" w:hAnsi="Times New Roman;serif"/>
          <w:b w:val="false"/>
          <w:color w:val="000000"/>
          <w:sz w:val="20"/>
        </w:rPr>
        <w:t>). As of June 30, 2026 and December 31, 2025, $285,715,000 and $264,336,000, respectively, of the carrying amount of assets related to our unconsolidated VIEs were included in “investments in partially owned entities” on our consolidated balance sheets. Additionally, as of June 30, 2026 and December 31, 2025, $0 and $107,166,000, respectively were included in “other assets” on our consolidated balance sheets. Our maximum exposure to loss from our unconsolidated VIEs as of June 30, 2026 and December 31, 2025 was $351,144,000 and $374,502,000, respectively.</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Consolidated VIEs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most significant consolidated VIEs are the Operating Partnership (for Vornado), the Farley Building and certain properties that have noncontrolling interests. These entities are VIEs because the noncontrolling interests do not have substantive kick-out or participating rights. We consolidate these entities because we control all significant business activities.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assets and liabilities of our consolidated VIEs, excluding the Operating Partnership, were $4,556,770,000 and $2,657,486,000, respectively. As of December 31, 2025, the total assets and liabilities of our consolidated VIEs, excluding the Operating Partnership, were $4,734,109,000 and $2,744,932,000,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VORNADO REALTY TRUST AND VORNADO REALTY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6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    Fair Value Measurements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ASC 820 defines fair value and establishes a framework for measuring fair value. The objective of fair value is to determine the price that would be received upon the sale of an asset or paid to transfer a liability in an orderly transaction between market participants at the measurement date (the exit price). ASC 820 establishes a fair value hierarchy that prioritizes observable and unobservable inputs used to measure fair value into three levels: Level 1 – quoted prices (unadjusted) in active markets that are accessible at the measurement date for assets or liabilities as well as certain U.S. Treasury securities that are highly liquid and are actively traded in secondary markets; Level 2 – observable prices that are based on inputs not quoted in active markets, but corroborated by market data; and Level 3 –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 Considerable judgment is necessary to interpret Level 2 and 3 inputs in determining the fair value of our financial and non-financial assets and liabilities. Accordingly, our fair value estimates, which are made at the end of each reporting period, may be different than the amounts that may ultimately be realized upon sale or disposition of these assets.</w:t>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Measured at Fair Value on a Recurring Basis</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Financial assets and liabilities that are measured at fair value on our consolidated balance sheets consist of (i) the assets in our deferred compensation plan (for which there is a corresponding liability on our consolidated balance sheets), (ii) loans receivable (for which we have elected the fair value option under ASC Subtopic 825-10,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("ASC 825-10")), (iii) interest rate swaps and caps, and (iv) mandatorily redeemable instruments (Series G-1 through G-4 convertible preferred units and Series D-13 cumulative redeemable preferred units). The tables below aggregate the fair values of these financial assets and liabilities by their levels in the fair value hierarchy.</w:t>
      </w:r>
    </w:p>
    <w:tbl>
      <w:tblPr>
        <w:tblW w:w="10205" w:type="dxa"/>
        <w:jc w:val="left"/>
        <w:tblInd w:w="0" w:type="dxa"/>
        <w:tblLayout w:type="fixed"/>
        <w:tblCellMar>
          <w:top w:w="28" w:type="dxa"/>
          <w:left w:w="28" w:type="dxa"/>
          <w:bottom w:w="28" w:type="dxa"/>
          <w:right w:w="28" w:type="dxa"/>
        </w:tblCellMar>
      </w:tblPr>
      <w:tblGrid>
        <w:gridCol w:w="1915"/>
        <w:gridCol w:w="1636"/>
        <w:gridCol w:w="1642"/>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6"/>
      </w:tblGrid>
      <w:tr>
        <w:trPr/>
        <w:tc>
          <w:tcPr>
            <w:tcW w:w="1915"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50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5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Deferred compensation plan assets ($15,967 included in restricted cash and $82,779 in other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and caps designated as a hedge (included in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 not designated as a hedge (included in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Mandatorily redeemable instruments (included in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 not designated as a hedge (included in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50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5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Deferred compensation plan assets ($17,590 included in restricted cash and $96,188 in other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receivable (included in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and caps designated as a hedge (included in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 not designated as a hedge (included in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Mandatorily redeemable instruments (included in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designated as a hedge (included in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120" w:after="60"/>
        <w:ind w:left="0" w:right="0" w:hanging="720"/>
        <w:jc w:val="both"/>
        <w:rPr>
          <w:rFonts w:ascii="Times New Roman;serif" w:hAnsi="Times New Roman;serif"/>
          <w:b/>
          <w:color w:val="000000"/>
          <w:sz w:val="20"/>
        </w:rPr>
      </w:pPr>
      <w:r>
        <w:rPr>
          <w:rFonts w:ascii="Times New Roman;serif" w:hAnsi="Times New Roman;serif"/>
          <w:b/>
          <w:color w:val="000000"/>
          <w:sz w:val="20"/>
        </w:rPr>
        <w:t>15.    Fair Value Measurements - continued</w:t>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Measured at Fair Value on a Recurring Basis - continued</w:t>
      </w:r>
    </w:p>
    <w:p>
      <w:pPr>
        <w:pStyle w:val="TextBody"/>
        <w:bidi w:val="0"/>
        <w:spacing w:lineRule="auto" w:line="288" w:before="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Compensation Plan Assets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compensation plan assets that are classified as Level 3 consist of investments in limited partnerships and investment funds, which are managed by third parties. We receive quarterly financial reports that provide net asset values on a fair value basis from a third-party administrator, which are compiled from the quarterly reports provided to them from each limited partnership and investment fund. The period of time over which these underlying assets are expected to be liquidated is unknown. The third-party administrator does not adjust these values in determining our share of the net assets and we do not adjust these values when reported in our consolidated financial statements.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changes in the fair value of deferred compensation plan assets that are classified as Level 3.</w:t>
      </w:r>
    </w:p>
    <w:tbl>
      <w:tblPr>
        <w:tblW w:w="8891" w:type="dxa"/>
        <w:jc w:val="left"/>
        <w:tblInd w:w="0" w:type="dxa"/>
        <w:tblLayout w:type="fixed"/>
        <w:tblCellMar>
          <w:top w:w="28" w:type="dxa"/>
          <w:left w:w="28" w:type="dxa"/>
          <w:bottom w:w="28" w:type="dxa"/>
          <w:right w:w="28" w:type="dxa"/>
        </w:tblCellMar>
      </w:tblPr>
      <w:tblGrid>
        <w:gridCol w:w="799"/>
        <w:gridCol w:w="701"/>
        <w:gridCol w:w="704"/>
        <w:gridCol w:w="671"/>
        <w:gridCol w:w="2211"/>
        <w:gridCol w:w="373"/>
        <w:gridCol w:w="109"/>
        <w:gridCol w:w="109"/>
        <w:gridCol w:w="109"/>
        <w:gridCol w:w="611"/>
        <w:gridCol w:w="2014"/>
        <w:gridCol w:w="480"/>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40,924 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40,586 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2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4,655 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2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(7,562)</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losses</w:t>
            </w:r>
          </w:p>
        </w:tc>
        <w:tc>
          <w:tcPr>
            <w:tcW w:w="2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(3,787)</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2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36,007 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36,007 </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Receivable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changes in fair value of loans receivable that are classified as Level 3.</w:t>
      </w:r>
    </w:p>
    <w:tbl>
      <w:tblPr>
        <w:tblW w:w="8908" w:type="dxa"/>
        <w:jc w:val="left"/>
        <w:tblInd w:w="0" w:type="dxa"/>
        <w:tblLayout w:type="fixed"/>
        <w:tblCellMar>
          <w:top w:w="28" w:type="dxa"/>
          <w:left w:w="28" w:type="dxa"/>
          <w:bottom w:w="28" w:type="dxa"/>
          <w:right w:w="28" w:type="dxa"/>
        </w:tblCellMar>
      </w:tblPr>
      <w:tblGrid>
        <w:gridCol w:w="647"/>
        <w:gridCol w:w="568"/>
        <w:gridCol w:w="570"/>
        <w:gridCol w:w="897"/>
        <w:gridCol w:w="1859"/>
        <w:gridCol w:w="499"/>
        <w:gridCol w:w="109"/>
        <w:gridCol w:w="109"/>
        <w:gridCol w:w="109"/>
        <w:gridCol w:w="109"/>
        <w:gridCol w:w="576"/>
        <w:gridCol w:w="2164"/>
        <w:gridCol w:w="320"/>
        <w:gridCol w:w="109"/>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107,166 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Repayments</w:t>
            </w:r>
            <w:r>
              <w:rPr>
                <w:rFonts w:ascii="Times New Roman;serif" w:hAnsi="Times New Roman;serif"/>
                <w:b/>
                <w:color w:val="000000"/>
                <w:sz w:val="10"/>
              </w:rPr>
              <w:t>(1)</w:t>
            </w:r>
          </w:p>
        </w:tc>
        <w:tc>
          <w:tcPr>
            <w:tcW w:w="2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(107,337)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0"/>
              </w:rPr>
            </w:pPr>
            <w:r>
              <w:rPr>
                <w:rFonts w:ascii="Times New Roman;serif" w:hAnsi="Times New Roman;serif"/>
                <w:b/>
                <w:color w:val="000000"/>
                <w:sz w:val="10"/>
              </w:rPr>
              <w:t>(1)</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accrual</w:t>
            </w:r>
          </w:p>
        </w:tc>
        <w:tc>
          <w:tcPr>
            <w:tcW w:w="2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 xml:space="preserve">In January 2026, we acquired 3 East 54th Street and the outstanding loan balance, including default interest and advances, was credited towards the purchase price. See Note 6 - </w:t>
      </w:r>
      <w:r>
        <w:rPr>
          <w:rFonts w:ascii="Times New Roman;serif" w:hAnsi="Times New Roman;serif"/>
          <w:b w:val="false"/>
          <w:i/>
          <w:color w:val="000000"/>
          <w:sz w:val="16"/>
        </w:rPr>
        <w:t xml:space="preserve">Acquisitions </w:t>
      </w:r>
      <w:r>
        <w:rPr>
          <w:rFonts w:ascii="Times New Roman;serif" w:hAnsi="Times New Roman;serif"/>
          <w:b w:val="false"/>
          <w:color w:val="000000"/>
          <w:sz w:val="16"/>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120" w:after="60"/>
        <w:ind w:left="0" w:right="0" w:hanging="720"/>
        <w:jc w:val="both"/>
        <w:rPr>
          <w:rFonts w:ascii="Times New Roman;serif" w:hAnsi="Times New Roman;serif"/>
          <w:b/>
          <w:color w:val="000000"/>
          <w:sz w:val="20"/>
        </w:rPr>
      </w:pPr>
      <w:r>
        <w:rPr>
          <w:rFonts w:ascii="Times New Roman;serif" w:hAnsi="Times New Roman;serif"/>
          <w:b/>
          <w:color w:val="000000"/>
          <w:sz w:val="20"/>
        </w:rPr>
        <w:t>15.    Fair Value Measurements - continued</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Measured at Fair Value on a Recurring Basis - continued</w:t>
      </w:r>
    </w:p>
    <w:p>
      <w:pPr>
        <w:pStyle w:val="TextBody"/>
        <w:bidi w:val="0"/>
        <w:spacing w:lineRule="auto" w:line="288" w:before="60" w:after="283"/>
        <w:ind w:left="0" w:right="0" w:hanging="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Derivatives and Hedging</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principally to reduce our exposure to interest rate increases. We do not enter into or hold derivative instruments for speculative trading purposes. We recognize the fair values of all derivatives in "other assets" or "other liabilities" on our consolidated balance sheets. Changes in the fair value of our cash flow hedges are recognized in other comprehensive income until the hedged item is recognized in earnings. Reported net income and equity may increase or decrease prospectively, depending on future levels of interest rates and other variables affecting the fair values of hedging instruments and hedged items, but will have no effect on cash flows. Cash payments and receipts related to our interest rate hedges are classified as operating activities and included within our disclosure of cash paid for interest on our consolidated statements of cash flows, consistent with the classification of the hedged interest payments.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hedging instruments, all of which hedge variable rate debt, as of June 30, 2026 and December 31, 2025.</w:t>
      </w:r>
    </w:p>
    <w:tbl>
      <w:tblPr>
        <w:tblW w:w="10205" w:type="dxa"/>
        <w:jc w:val="left"/>
        <w:tblInd w:w="0" w:type="dxa"/>
        <w:tblLayout w:type="fixed"/>
        <w:tblCellMar>
          <w:top w:w="28" w:type="dxa"/>
          <w:left w:w="28" w:type="dxa"/>
          <w:bottom w:w="28" w:type="dxa"/>
          <w:right w:w="28" w:type="dxa"/>
        </w:tblCellMar>
      </w:tblPr>
      <w:tblGrid>
        <w:gridCol w:w="569"/>
        <w:gridCol w:w="471"/>
        <w:gridCol w:w="472"/>
        <w:gridCol w:w="109"/>
        <w:gridCol w:w="109"/>
        <w:gridCol w:w="109"/>
        <w:gridCol w:w="212"/>
        <w:gridCol w:w="798"/>
        <w:gridCol w:w="118"/>
        <w:gridCol w:w="109"/>
        <w:gridCol w:w="109"/>
        <w:gridCol w:w="109"/>
        <w:gridCol w:w="327"/>
        <w:gridCol w:w="327"/>
        <w:gridCol w:w="329"/>
        <w:gridCol w:w="109"/>
        <w:gridCol w:w="109"/>
        <w:gridCol w:w="109"/>
        <w:gridCol w:w="401"/>
        <w:gridCol w:w="401"/>
        <w:gridCol w:w="402"/>
        <w:gridCol w:w="109"/>
        <w:gridCol w:w="109"/>
        <w:gridCol w:w="109"/>
        <w:gridCol w:w="216"/>
        <w:gridCol w:w="712"/>
        <w:gridCol w:w="119"/>
        <w:gridCol w:w="109"/>
        <w:gridCol w:w="109"/>
        <w:gridCol w:w="109"/>
        <w:gridCol w:w="109"/>
        <w:gridCol w:w="109"/>
        <w:gridCol w:w="216"/>
        <w:gridCol w:w="712"/>
        <w:gridCol w:w="119"/>
        <w:gridCol w:w="109"/>
        <w:gridCol w:w="109"/>
        <w:gridCol w:w="109"/>
        <w:gridCol w:w="236"/>
        <w:gridCol w:w="671"/>
        <w:gridCol w:w="197"/>
      </w:tblGrid>
      <w:tr>
        <w:trPr/>
        <w:tc>
          <w:tcPr>
            <w:tcW w:w="5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All-In Swapped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Swap/Cap Expiration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Fair Value Liability</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555 California Street mortgage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(1)</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(2)</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Park Avenue mortgage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(4)</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 West 33rd Street mortgage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1290 Avenue of the Americas mortgage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(5)</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0"/>
              </w:rPr>
            </w:pPr>
            <w:r>
              <w:rPr>
                <w:rFonts w:ascii="Times New Roman;serif" w:hAnsi="Times New Roman;serif"/>
                <w:b/>
                <w:color w:val="000000"/>
                <w:sz w:val="10"/>
              </w:rPr>
              <w:t>(6)</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435 Seventh Avenue mortgage loan</w:t>
            </w:r>
            <w:r>
              <w:rPr>
                <w:rFonts w:ascii="Times New Roman;serif" w:hAnsi="Times New Roman;serif"/>
                <w:b/>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Represents our 70.0% share of the $1.2 billion mortgage loan.</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The variable rate spread will increase by 25 basis points in May 2027.</w:t>
      </w:r>
    </w:p>
    <w:p>
      <w:pPr>
        <w:pStyle w:val="TextBody"/>
        <w:bidi w:val="0"/>
        <w:spacing w:lineRule="auto" w:line="288" w:before="0" w:after="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Represents the aggregate fair value of various interest rate swap arrangements to hedge interest payments on our unsecured term loan, which matures in February 2031. The impact of these interest rate swap arrangements is detailed below:</w:t>
      </w:r>
    </w:p>
    <w:tbl>
      <w:tblPr>
        <w:tblW w:w="7460" w:type="dxa"/>
        <w:jc w:val="center"/>
        <w:tblInd w:w="0" w:type="dxa"/>
        <w:tblLayout w:type="fixed"/>
        <w:tblCellMar>
          <w:top w:w="28" w:type="dxa"/>
          <w:left w:w="28" w:type="dxa"/>
          <w:bottom w:w="28" w:type="dxa"/>
          <w:right w:w="28" w:type="dxa"/>
        </w:tblCellMar>
      </w:tblPr>
      <w:tblGrid>
        <w:gridCol w:w="569"/>
        <w:gridCol w:w="501"/>
        <w:gridCol w:w="505"/>
        <w:gridCol w:w="109"/>
        <w:gridCol w:w="109"/>
        <w:gridCol w:w="109"/>
        <w:gridCol w:w="257"/>
        <w:gridCol w:w="965"/>
        <w:gridCol w:w="143"/>
        <w:gridCol w:w="109"/>
        <w:gridCol w:w="109"/>
        <w:gridCol w:w="109"/>
        <w:gridCol w:w="534"/>
        <w:gridCol w:w="534"/>
        <w:gridCol w:w="536"/>
        <w:gridCol w:w="109"/>
        <w:gridCol w:w="109"/>
        <w:gridCol w:w="109"/>
        <w:gridCol w:w="349"/>
        <w:gridCol w:w="1312"/>
        <w:gridCol w:w="274"/>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Swapped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All-In Swapped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Unswapped Balance</w:t>
            </w:r>
          </w:p>
          <w:p>
            <w:pPr>
              <w:pStyle w:val="TableContents"/>
              <w:bidi w:val="0"/>
              <w:spacing w:lineRule="auto" w:line="240"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(bears interest at S+115)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Through 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10/26 through 07/27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07/27 through 08/27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800,000 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erif" w:hAnsi="Times New Roman;serif"/>
          <w:b/>
          <w:color w:val="000000"/>
          <w:sz w:val="16"/>
        </w:rPr>
        <w:t>(4)</w:t>
      </w:r>
      <w:r>
        <w:rPr>
          <w:rFonts w:ascii="Times New Roman;serif" w:hAnsi="Times New Roman;serif"/>
          <w:b w:val="false"/>
          <w:color w:val="000000"/>
          <w:sz w:val="16"/>
        </w:rPr>
        <w:t>The remaining $25,000 mortgage loan balance bears interest at a floating rate of SOFR plus 1.78% (5.41% as of June 30, 2026) and has a 5.20% SOFR strike rate cap in place until February 2028.</w:t>
      </w:r>
    </w:p>
    <w:p>
      <w:pPr>
        <w:pStyle w:val="TextBody"/>
        <w:bidi w:val="0"/>
        <w:spacing w:lineRule="auto" w:line="288" w:before="0" w:after="0"/>
        <w:ind w:left="0" w:right="0" w:hanging="360"/>
        <w:jc w:val="both"/>
        <w:rPr/>
      </w:pPr>
      <w:r>
        <w:rPr>
          <w:rFonts w:ascii="Times New Roman;serif" w:hAnsi="Times New Roman;serif"/>
          <w:b/>
          <w:color w:val="000000"/>
          <w:sz w:val="16"/>
        </w:rPr>
        <w:t>(5)</w:t>
      </w:r>
      <w:r>
        <w:rPr>
          <w:rFonts w:ascii="Times New Roman;serif" w:hAnsi="Times New Roman;serif"/>
          <w:b w:val="false"/>
          <w:color w:val="000000"/>
          <w:sz w:val="16"/>
        </w:rPr>
        <w:t>The remaining $750,000 mortgage loan balance bears interest at a floating rate of SOFR plus 1.62% (5.25% as of June 30, 2026) and has a 4.00% SOFR strike rate cap in place until November 2026.</w:t>
      </w:r>
    </w:p>
    <w:p>
      <w:pPr>
        <w:pStyle w:val="TextBody"/>
        <w:bidi w:val="0"/>
        <w:spacing w:lineRule="auto" w:line="288" w:before="0" w:after="0"/>
        <w:ind w:left="0" w:right="0" w:hanging="360"/>
        <w:jc w:val="both"/>
        <w:rPr/>
      </w:pPr>
      <w:r>
        <w:rPr>
          <w:rFonts w:ascii="Times New Roman;serif" w:hAnsi="Times New Roman;serif"/>
          <w:b/>
          <w:color w:val="000000"/>
          <w:sz w:val="16"/>
        </w:rPr>
        <w:t>(6)</w:t>
      </w:r>
      <w:r>
        <w:rPr>
          <w:rFonts w:ascii="Times New Roman;serif" w:hAnsi="Times New Roman;serif"/>
          <w:b w:val="false"/>
          <w:color w:val="000000"/>
          <w:sz w:val="16"/>
        </w:rPr>
        <w:t>The variable rate spread will increase by 25 basis points in November 2026.</w:t>
      </w:r>
    </w:p>
    <w:p>
      <w:pPr>
        <w:pStyle w:val="TextBody"/>
        <w:bidi w:val="0"/>
        <w:spacing w:lineRule="auto" w:line="288" w:before="0" w:after="0"/>
        <w:ind w:left="0" w:right="0" w:hanging="360"/>
        <w:jc w:val="both"/>
        <w:rPr/>
      </w:pPr>
      <w:r>
        <w:rPr>
          <w:rFonts w:ascii="Times New Roman;serif" w:hAnsi="Times New Roman;serif"/>
          <w:b/>
          <w:color w:val="000000"/>
          <w:sz w:val="16"/>
        </w:rPr>
        <w:t>(7)</w:t>
      </w:r>
      <w:r>
        <w:rPr>
          <w:rFonts w:ascii="Times New Roman;serif" w:hAnsi="Times New Roman;serif"/>
          <w:b w:val="false"/>
          <w:color w:val="000000"/>
          <w:sz w:val="16"/>
        </w:rPr>
        <w:t>On April 5, 2026, the $75,000 notional interest rate swap expired.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15.    Fair Value Measurements - continued</w:t>
      </w:r>
    </w:p>
    <w:p>
      <w:pPr>
        <w:pStyle w:val="TextBody"/>
        <w:bidi w:val="0"/>
        <w:spacing w:lineRule="auto" w:line="288" w:before="60" w:after="283"/>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 xml:space="preserve">Fair Value Measurements on a Nonrecurring Basis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assets measured at fair value on a nonrecurring basis on our consolidated balance sheets as of June 30, 2026 and December 31, 2025. </w:t>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not Measured at Fair Value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not measured at fair value on our consolidated balance sheets include cash equivalents (primarily money market funds, which invest in obligations of the United States government) and our secured and unsecured debt. The fair values of these instruments are estimated using discounted cash flow analyses provided by a third-party specialist. For floating rate debt, we use forward rates derived from observable market yield curves to project the expected cash flows we would be required to make under the instrument. The fair value of cash equivalents and borrowings under our unsecured revolving credit facilities and unsecured term loan are classified as Level 1. The fair value of our secured debt and unsecured debt are classified as Level 2. The table below summarizes the carrying amounts and fair value of these financial instruments.</w:t>
      </w:r>
    </w:p>
    <w:tbl>
      <w:tblPr>
        <w:tblW w:w="8354" w:type="dxa"/>
        <w:jc w:val="left"/>
        <w:tblInd w:w="0" w:type="dxa"/>
        <w:tblLayout w:type="fixed"/>
        <w:tblCellMar>
          <w:top w:w="28" w:type="dxa"/>
          <w:left w:w="28" w:type="dxa"/>
          <w:bottom w:w="28" w:type="dxa"/>
          <w:right w:w="28" w:type="dxa"/>
        </w:tblCellMar>
      </w:tblPr>
      <w:tblGrid>
        <w:gridCol w:w="951"/>
        <w:gridCol w:w="835"/>
        <w:gridCol w:w="838"/>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4,869,543 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revolving credit facilities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7,487,543 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7,214,457 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6,988,000 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w:t>
      </w:r>
    </w:p>
    <w:p>
      <w:pPr>
        <w:pStyle w:val="TextBody"/>
        <w:bidi w:val="0"/>
        <w:spacing w:lineRule="auto" w:line="288" w:before="0" w:after="18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Excludes $42,843</w:t>
      </w:r>
      <w:r>
        <w:rPr>
          <w:color w:val="EE2724"/>
        </w:rPr>
        <w:t xml:space="preserve"> </w:t>
      </w:r>
      <w:r>
        <w:rPr>
          <w:rFonts w:ascii="Times New Roman;serif" w:hAnsi="Times New Roman;serif"/>
          <w:b w:val="false"/>
          <w:color w:val="000000"/>
          <w:sz w:val="16"/>
        </w:rPr>
        <w:t>and $28,829 of deferred financing costs, net and other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16.    Interest and Other Investment Income, Net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interest and other investment income, net:</w:t>
      </w:r>
    </w:p>
    <w:tbl>
      <w:tblPr>
        <w:tblW w:w="9861" w:type="dxa"/>
        <w:jc w:val="left"/>
        <w:tblInd w:w="0" w:type="dxa"/>
        <w:tblLayout w:type="fixed"/>
        <w:tblCellMar>
          <w:top w:w="28" w:type="dxa"/>
          <w:left w:w="28" w:type="dxa"/>
          <w:bottom w:w="28" w:type="dxa"/>
          <w:right w:w="28" w:type="dxa"/>
        </w:tblCellMar>
      </w:tblPr>
      <w:tblGrid>
        <w:gridCol w:w="1446"/>
        <w:gridCol w:w="1269"/>
        <w:gridCol w:w="1274"/>
        <w:gridCol w:w="261"/>
        <w:gridCol w:w="741"/>
        <w:gridCol w:w="145"/>
        <w:gridCol w:w="145"/>
        <w:gridCol w:w="145"/>
        <w:gridCol w:w="145"/>
        <w:gridCol w:w="261"/>
        <w:gridCol w:w="861"/>
        <w:gridCol w:w="145"/>
        <w:gridCol w:w="109"/>
        <w:gridCol w:w="109"/>
        <w:gridCol w:w="109"/>
        <w:gridCol w:w="232"/>
        <w:gridCol w:w="767"/>
        <w:gridCol w:w="129"/>
        <w:gridCol w:w="129"/>
        <w:gridCol w:w="129"/>
        <w:gridCol w:w="129"/>
        <w:gridCol w:w="232"/>
        <w:gridCol w:w="767"/>
        <w:gridCol w:w="182"/>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cash and cash equivalents and restricted cash</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loans receivable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real estate fund investments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4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17.    Interest and Debt Expense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interest and debt expense:</w:t>
      </w:r>
    </w:p>
    <w:tbl>
      <w:tblPr>
        <w:tblW w:w="8959" w:type="dxa"/>
        <w:jc w:val="left"/>
        <w:tblInd w:w="0" w:type="dxa"/>
        <w:tblLayout w:type="fixed"/>
        <w:tblCellMar>
          <w:top w:w="28" w:type="dxa"/>
          <w:left w:w="28" w:type="dxa"/>
          <w:bottom w:w="28" w:type="dxa"/>
          <w:right w:w="28" w:type="dxa"/>
        </w:tblCellMar>
      </w:tblPr>
      <w:tblGrid>
        <w:gridCol w:w="1121"/>
        <w:gridCol w:w="983"/>
        <w:gridCol w:w="986"/>
        <w:gridCol w:w="250"/>
        <w:gridCol w:w="826"/>
        <w:gridCol w:w="139"/>
        <w:gridCol w:w="139"/>
        <w:gridCol w:w="139"/>
        <w:gridCol w:w="139"/>
        <w:gridCol w:w="250"/>
        <w:gridCol w:w="826"/>
        <w:gridCol w:w="139"/>
        <w:gridCol w:w="109"/>
        <w:gridCol w:w="109"/>
        <w:gridCol w:w="109"/>
        <w:gridCol w:w="215"/>
        <w:gridCol w:w="810"/>
        <w:gridCol w:w="119"/>
        <w:gridCol w:w="119"/>
        <w:gridCol w:w="119"/>
        <w:gridCol w:w="119"/>
        <w:gridCol w:w="215"/>
        <w:gridCol w:w="810"/>
        <w:gridCol w:w="169"/>
      </w:tblGrid>
      <w:tr>
        <w:trPr/>
        <w:tc>
          <w:tcPr>
            <w:tcW w:w="11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95,436 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86,313 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interest and debt expense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interest rate cap premiums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89,582 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87,929 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178,788 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ind w:left="0" w:right="0" w:hanging="360"/>
        <w:jc w:val="left"/>
        <w:rPr>
          <w:rFonts w:ascii="Times New Roman;serif" w:hAnsi="Times New Roman;serif"/>
          <w:b/>
          <w:color w:val="000000"/>
          <w:sz w:val="20"/>
        </w:rPr>
      </w:pPr>
      <w:r>
        <w:rPr>
          <w:rFonts w:ascii="Times New Roman;serif" w:hAnsi="Times New Roman;serif"/>
          <w:b/>
          <w:color w:val="000000"/>
          <w:sz w:val="20"/>
        </w:rPr>
        <w:t>18.    Commitments and Contingencies</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Insurance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properties, we maintain general liability insurance with limits of $300,000,000 per occurrence and per property, of which $275,000,000 includes communicable disease coverage and we maintain all risk property and rental value insurance with limits of $2.5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third-party insurance companies and the Federal government with no exposure to PPIC. For NBCR acts, PPIC is responsible for a deductible of $2,360,428 and 20% of the balance of a covered loss and the Federal government is responsible for the remaining portion of a covered loss. We are ultimately responsible for any loss incurred by PPIC.</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condominiums in which we own an interest (including the Farley Condominiums) maintain insurance policies with different per occurrence and aggregate limits than our policies described above.</w:t>
      </w:r>
    </w:p>
    <w:p>
      <w:pPr>
        <w:pStyle w:val="TextBody"/>
        <w:bidi w:val="0"/>
        <w:spacing w:lineRule="auto" w:line="288" w:before="60" w:after="283"/>
        <w:ind w:left="0" w:right="0" w:firstLine="360"/>
        <w:jc w:val="both"/>
        <w:rPr/>
      </w:pPr>
      <w:r>
        <w:rPr>
          <w:rFonts w:ascii="Times New Roman;serif" w:hAnsi="Times New Roman;serif"/>
          <w:b w:val="false"/>
          <w:color w:val="000000"/>
          <w:sz w:val="20"/>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r>
        <w:rPr>
          <w:rFonts w:ascii="Times New Roman;serif" w:hAnsi="Times New Roman;serif"/>
          <w:b w:val="false"/>
          <w:i/>
          <w:color w:val="000000"/>
          <w:sz w:val="20"/>
        </w:rPr>
        <w: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Commitments and Contingencies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PENN 1 ground lease is subject to fair market value resets at each of the three 25-year renewal periods.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pStyle w:val="TextBody"/>
        <w:bidi w:val="0"/>
        <w:spacing w:lineRule="auto" w:line="288" w:before="4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 </w:t>
      </w:r>
    </w:p>
    <w:p>
      <w:pPr>
        <w:pStyle w:val="TextBody"/>
        <w:bidi w:val="0"/>
        <w:spacing w:lineRule="auto" w:line="288" w:before="4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June 30, 2026, the aggregate dollar amount of these guarantees is approximately $196,733,000, including partial payment guarantees on 435 Seventh Avenue and 150 West 34th Street. Other than these loans, our mortgage loans are non-recourse to us. </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18. Commitments and Contingencies - continued</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Commitments and Contingencies - continued</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$23,720,000 of letters of credit were outstanding under our unsecured revolving credit facilities. Our unsecured revolving credit facilities contain financial covenants that require us to maintain minimum interest coverage and maximum debt to market capitalization ratios and provide for higher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pStyle w:val="TextBody"/>
        <w:bidi w:val="0"/>
        <w:spacing w:lineRule="auto" w:line="288" w:before="60" w:after="283"/>
        <w:ind w:left="0" w:right="0" w:firstLine="360"/>
        <w:jc w:val="both"/>
        <w:rPr/>
      </w:pPr>
      <w:r>
        <w:rPr>
          <w:rFonts w:ascii="Times New Roman;serif" w:hAnsi="Times New Roman;serif"/>
          <w:b w:val="false"/>
          <w:color w:val="000000"/>
          <w:sz w:val="20"/>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June 30, 2026, the Tax Credit Investor has made</w:t>
      </w:r>
      <w:r>
        <w:rPr>
          <w:color w:val="EE2724"/>
        </w:rPr>
        <w:t xml:space="preserve"> </w:t>
      </w:r>
      <w:r>
        <w:rPr>
          <w:rFonts w:ascii="Times New Roman;serif" w:hAnsi="Times New Roman;serif"/>
          <w:b w:val="false"/>
          <w:color w:val="000000"/>
          <w:sz w:val="20"/>
        </w:rPr>
        <w:t>$209,661,000 in capital contributions. Vornado and Related have guaranteed certain of the joint venture’s obligations to the Tax Credit Investor.</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construction commitments aggregating approximately $22,858,000.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ind w:left="0" w:right="0" w:hanging="360"/>
        <w:jc w:val="both"/>
        <w:rPr>
          <w:rFonts w:ascii="Times New Roman;serif" w:hAnsi="Times New Roman;serif"/>
          <w:b/>
          <w:color w:val="000000"/>
          <w:sz w:val="20"/>
        </w:rPr>
      </w:pPr>
      <w:r>
        <w:rPr>
          <w:rFonts w:ascii="Times New Roman;serif" w:hAnsi="Times New Roman;serif"/>
          <w:b/>
          <w:color w:val="000000"/>
          <w:sz w:val="20"/>
        </w:rPr>
        <w:t>19.    Segment Information</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operating segments are based on our method of internal reporting which classifies our operations by geographic area. We aggregate these operating segments into two reportable segments, New York and Other, which are based on similar economic characteristics.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operating income ("NOI") at share represents total revenues less operating expenses including our share of partially owned entities. The Company's chief operating decision maker (“CODM”) is its Chief Executive Officer, who considers NOI at share to be the measure of segment profit and loss for making decisions on how to allocate resources and assessing the unlevered performance of our segments as it relates to the return on assets as opposed to the levered return on equity.</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We have recast certain prior period disclosures to reflect changes to our reportable segments. See Note 2 - </w:t>
      </w:r>
      <w:r>
        <w:rPr>
          <w:rFonts w:ascii="Times New Roman;serif" w:hAnsi="Times New Roman;serif"/>
          <w:b w:val="false"/>
          <w:i/>
          <w:color w:val="000000"/>
          <w:sz w:val="20"/>
        </w:rPr>
        <w:t>Basis of Presentation</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summary of NOI at share by segment for the three and six months ended June 30, 2026 and 2025.</w:t>
      </w:r>
    </w:p>
    <w:tbl>
      <w:tblPr>
        <w:tblW w:w="9356" w:type="dxa"/>
        <w:jc w:val="left"/>
        <w:tblInd w:w="0" w:type="dxa"/>
        <w:tblLayout w:type="fixed"/>
        <w:tblCellMar>
          <w:top w:w="28" w:type="dxa"/>
          <w:left w:w="28" w:type="dxa"/>
          <w:bottom w:w="28" w:type="dxa"/>
          <w:right w:w="28" w:type="dxa"/>
        </w:tblCellMar>
      </w:tblPr>
      <w:tblGrid>
        <w:gridCol w:w="2038"/>
        <w:gridCol w:w="1789"/>
        <w:gridCol w:w="1797"/>
        <w:gridCol w:w="196"/>
        <w:gridCol w:w="736"/>
        <w:gridCol w:w="109"/>
        <w:gridCol w:w="109"/>
        <w:gridCol w:w="109"/>
        <w:gridCol w:w="109"/>
        <w:gridCol w:w="196"/>
        <w:gridCol w:w="736"/>
        <w:gridCol w:w="109"/>
        <w:gridCol w:w="109"/>
        <w:gridCol w:w="109"/>
        <w:gridCol w:w="109"/>
        <w:gridCol w:w="196"/>
        <w:gridCol w:w="64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Deduct: operating expenses</w:t>
            </w:r>
            <w:r>
              <w:rPr>
                <w:rFonts w:ascii="Times New Roman;serif" w:hAnsi="Times New Roman;serif"/>
                <w:b/>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356" w:type="dxa"/>
        <w:jc w:val="left"/>
        <w:tblInd w:w="0" w:type="dxa"/>
        <w:tblLayout w:type="fixed"/>
        <w:tblCellMar>
          <w:top w:w="28" w:type="dxa"/>
          <w:left w:w="28" w:type="dxa"/>
          <w:bottom w:w="28" w:type="dxa"/>
          <w:right w:w="28" w:type="dxa"/>
        </w:tblCellMar>
      </w:tblPr>
      <w:tblGrid>
        <w:gridCol w:w="2038"/>
        <w:gridCol w:w="1789"/>
        <w:gridCol w:w="1797"/>
        <w:gridCol w:w="196"/>
        <w:gridCol w:w="736"/>
        <w:gridCol w:w="109"/>
        <w:gridCol w:w="109"/>
        <w:gridCol w:w="109"/>
        <w:gridCol w:w="109"/>
        <w:gridCol w:w="196"/>
        <w:gridCol w:w="736"/>
        <w:gridCol w:w="109"/>
        <w:gridCol w:w="109"/>
        <w:gridCol w:w="109"/>
        <w:gridCol w:w="109"/>
        <w:gridCol w:w="196"/>
        <w:gridCol w:w="64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Deduct: operating expenses</w:t>
            </w:r>
            <w:r>
              <w:rPr>
                <w:rFonts w:ascii="Times New Roman;serif" w:hAnsi="Times New Roman;serif"/>
                <w:b/>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46" w:type="dxa"/>
        <w:jc w:val="left"/>
        <w:tblInd w:w="0" w:type="dxa"/>
        <w:tblLayout w:type="fixed"/>
        <w:tblCellMar>
          <w:top w:w="28" w:type="dxa"/>
          <w:left w:w="28" w:type="dxa"/>
          <w:bottom w:w="28" w:type="dxa"/>
          <w:right w:w="28" w:type="dxa"/>
        </w:tblCellMar>
      </w:tblPr>
      <w:tblGrid>
        <w:gridCol w:w="2038"/>
        <w:gridCol w:w="1789"/>
        <w:gridCol w:w="1797"/>
        <w:gridCol w:w="196"/>
        <w:gridCol w:w="736"/>
        <w:gridCol w:w="109"/>
        <w:gridCol w:w="109"/>
        <w:gridCol w:w="109"/>
        <w:gridCol w:w="109"/>
        <w:gridCol w:w="196"/>
        <w:gridCol w:w="736"/>
        <w:gridCol w:w="109"/>
        <w:gridCol w:w="109"/>
        <w:gridCol w:w="109"/>
        <w:gridCol w:w="109"/>
        <w:gridCol w:w="196"/>
        <w:gridCol w:w="73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Deduct: operating expenses</w:t>
            </w:r>
            <w:r>
              <w:rPr>
                <w:rFonts w:ascii="Times New Roman;serif" w:hAnsi="Times New Roman;serif"/>
                <w:b/>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rFonts w:ascii="Times New Roman;serif" w:hAnsi="Times New Roman;serif"/>
          <w:b w:val="false"/>
          <w:color w:val="000000"/>
          <w:sz w:val="10"/>
        </w:rPr>
      </w:pPr>
      <w:r>
        <w:rPr>
          <w:rFonts w:ascii="Times New Roman;serif" w:hAnsi="Times New Roman;serif"/>
          <w:b w:val="false"/>
          <w:color w:val="000000"/>
          <w:sz w:val="10"/>
        </w:rPr>
        <w:t>_______________________________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See note on the following page.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VORNADO REALTY TRUST AND VORNADO REALTY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19. Segment Information - continued</w:t>
      </w:r>
    </w:p>
    <w:tbl>
      <w:tblPr>
        <w:tblW w:w="9446" w:type="dxa"/>
        <w:jc w:val="left"/>
        <w:tblInd w:w="0" w:type="dxa"/>
        <w:tblLayout w:type="fixed"/>
        <w:tblCellMar>
          <w:top w:w="28" w:type="dxa"/>
          <w:left w:w="28" w:type="dxa"/>
          <w:bottom w:w="28" w:type="dxa"/>
          <w:right w:w="28" w:type="dxa"/>
        </w:tblCellMar>
      </w:tblPr>
      <w:tblGrid>
        <w:gridCol w:w="2038"/>
        <w:gridCol w:w="1789"/>
        <w:gridCol w:w="1797"/>
        <w:gridCol w:w="196"/>
        <w:gridCol w:w="736"/>
        <w:gridCol w:w="109"/>
        <w:gridCol w:w="109"/>
        <w:gridCol w:w="109"/>
        <w:gridCol w:w="109"/>
        <w:gridCol w:w="196"/>
        <w:gridCol w:w="736"/>
        <w:gridCol w:w="109"/>
        <w:gridCol w:w="109"/>
        <w:gridCol w:w="109"/>
        <w:gridCol w:w="109"/>
        <w:gridCol w:w="196"/>
        <w:gridCol w:w="73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Deduct: operating expenses</w:t>
            </w:r>
            <w:r>
              <w:rPr>
                <w:rFonts w:ascii="Times New Roman;serif" w:hAnsi="Times New Roman;serif"/>
                <w:b/>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w:t>
      </w:r>
    </w:p>
    <w:p>
      <w:pPr>
        <w:pStyle w:val="TextBody"/>
        <w:bidi w:val="0"/>
        <w:spacing w:lineRule="auto" w:line="288" w:before="40" w:after="283"/>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Includes various expenses associated with operating our properties, including but not limited to: real estate taxes, ground rent, insurance, and utilities. Our CODM</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is not regularly provided with significant expense categories and amounts included within net operating income at share.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NOI at share to income before income taxes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647"/>
        <w:gridCol w:w="1395"/>
        <w:gridCol w:w="1400"/>
        <w:gridCol w:w="225"/>
        <w:gridCol w:w="850"/>
        <w:gridCol w:w="125"/>
        <w:gridCol w:w="125"/>
        <w:gridCol w:w="125"/>
        <w:gridCol w:w="125"/>
        <w:gridCol w:w="225"/>
        <w:gridCol w:w="850"/>
        <w:gridCol w:w="125"/>
        <w:gridCol w:w="109"/>
        <w:gridCol w:w="109"/>
        <w:gridCol w:w="109"/>
        <w:gridCol w:w="212"/>
        <w:gridCol w:w="798"/>
        <w:gridCol w:w="117"/>
        <w:gridCol w:w="117"/>
        <w:gridCol w:w="117"/>
        <w:gridCol w:w="117"/>
        <w:gridCol w:w="212"/>
        <w:gridCol w:w="798"/>
        <w:gridCol w:w="173"/>
      </w:tblGrid>
      <w:tr>
        <w:trPr/>
        <w:tc>
          <w:tcPr>
            <w:tcW w:w="164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304,064 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570,963 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attributable to noncontrolling interests in consolidated subsidiaries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from partially owned entities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(133,338)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disposition of wholly owned and partially owned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debt extinguishment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sales-type lease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debt expense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(89,582)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investment income,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partially owned entities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related costs and other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(115,574)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(231,729)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42,767 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817,350 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924,367 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Trustees of Vornado Realty Trust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 xml:space="preserve">Results of Review of Interim Financial Information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reviewed the accompanying consolidated balance sheet of Vornado Realty Trust and subsidiaries (the “Company”) as of June 30, 2026, the related consolidated statements of income, comprehensive income, and changes in equity for the three-month and six-month periods ended June 30, 2026 and 2025, and of cash flows for the six-month periods ended June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(PCAOB), the consolidated balance sheet of the Company as of December 31, 2025, and the related consolidated statements of income, comprehensive income, changes in equity, and cash flows for the year then ended (not presented herein); and in our report dated February 9,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Basis for Review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New York, New York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Partners of Vornado Realty L.P. and the Board of Trustees of Vornado Realty Trust</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 xml:space="preserve">Results of Review of Interim Financial Information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reviewed the accompanying consolidated balance sheet of Vornado Realty L.P. and subsidiaries (the “Partnership”) as of June 30, 2026, the related consolidated statements of income, comprehensive income, and changes in equity for the three-month and six-month periods ended June 30, 2026 and 2025, and of cash flows for the six-month periods ended June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(PCAOB), the consolidated balance sheet of the Partnership as of December 31, 2025 and the related consolidated statements of income, comprehensive income, changes in equity, and cash flows for the year then ended (not presented herein); and in our report dated February 9,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Basis for Review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Partnership's management.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Quarterly Report constitute forward-looking statements as such term is defined in Section 27A of the Securities Act of 1933, as amended, and Section 21E of the Securities Exchange Act of 1934, as amended. Forward-looking statements are not guarantees of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Quarterly Report on Form 10</w:t>
        <w:noBreakHyphen/>
        <w:t xml:space="preserve">Q. We also note the following forward-looking statements: in the case of our development and redevelopment projects, the estimated completion date, estimated project cost and cost to complete; estimates of future rents; estimates of future capital expenditures, dividends to common and preferred shareholders and Operating Partnership distributions. Many of the factors that will determine the outcome of these and our other forward-looking statements are beyond our ability to control or predict. For further discussion of factors that could materially affect the outcome of our forward-looking statements, see "Item 1A. Risk Factors" in Part I of our Annual Report on Form 10-K for the year ended December 31, 2025.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Quarterly Report on Form 10-Q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Quarterly Report on Form 10-Q.</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includes a discussion of our consolidated financial statements for the three and six months ended June 30, 2026.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 The results of operations for the three and six months ended June 30, 2026 are not necessarily indicative of the operating results for the full year. Certain prior year balances have been reclassified in order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Vornado Realty Trust (“Vornado”) is a fully-integrated real estate investment trust (“REIT”) and conducts its business through, and substantially all of its interests in properties are held by, Vornado Realty L.P. (the “Operating Partnership”), a Delaware limited partnership. Vornado is the sole general partner of and owned approximately 91.2% of the common limited partnership interest in the Operating Partnership as of June 30, 2026. All references to the “Company,” “we,” “us” and “our” mean, collectively, Vornado, the Operating Partnership and those subsidiaries consolidated by Vornado.</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Part I, Item 1A of our Annual Report on Form 10-K for the year ended December 31, 2025 for additional information regarding these factors.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has been, and may continue to be, affected by interest rate fluctuations, the effects of inflation and other uncertainties including the potential for an economic downturn. These factors could have a material impact on our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Vornado Realty Trust</w:t>
      </w:r>
    </w:p>
    <w:p>
      <w:pPr>
        <w:pStyle w:val="TextBody"/>
        <w:bidi w:val="0"/>
        <w:spacing w:lineRule="auto" w:line="288" w:before="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Quarter Ended June 30, 2026 Financial Results Summary</w:t>
      </w:r>
    </w:p>
    <w:p>
      <w:pPr>
        <w:pStyle w:val="TextBody"/>
        <w:bidi w:val="0"/>
        <w:spacing w:lineRule="auto" w:line="288" w:before="60" w:after="283"/>
        <w:ind w:left="0" w:right="0" w:firstLine="360"/>
        <w:jc w:val="both"/>
        <w:rPr/>
      </w:pPr>
      <w:r>
        <w:rPr>
          <w:rFonts w:ascii="Times New Roman;serif" w:hAnsi="Times New Roman;serif"/>
          <w:b w:val="false"/>
          <w:color w:val="000000"/>
          <w:sz w:val="20"/>
        </w:rPr>
        <w:t>Net income</w:t>
      </w:r>
      <w:r>
        <w:rPr>
          <w:color w:val="EE2724"/>
        </w:rPr>
        <w:t xml:space="preserve"> </w:t>
      </w:r>
      <w:r>
        <w:rPr>
          <w:rFonts w:ascii="Times New Roman;serif" w:hAnsi="Times New Roman;serif"/>
          <w:b w:val="false"/>
          <w:color w:val="000000"/>
          <w:sz w:val="20"/>
        </w:rPr>
        <w:t>attributable to common shareholders for the quarter ended June 30, 2026 was $16,434,000, or $0.08 per diluted share, compared to $743,819,000, or $3.70 per diluted share, for the prior year’s quarter. The decrease is primarily due to the $803,248,000 gain related to the 770 Broadway master lease with New York University ("NYU") during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Funds from operations (“FFO”) attributable to common shareholders plus assumed conversions for the quarter ended June 30, 2026 was $144,078,000, or $0.74 per diluted share, compared to $120,928,000, or $0.60 per diluted share, for the prior year’s quarter. FFO attributable to common shareholders plus assumed conversions for the quarters ended June 30, 2026 and 2025 include certain items that impact the comparability of period-to-period FFO, which are listed in the table below. The aggregate of these items, net of amounts attributable to noncontrolling interests, increased FFO attributable to common shareholders plus assumed conversions for the quarter ended June 30, 2026 by $13,005,000, or $0.07 per diluted share, and $7,604,000, or $0.04 per diluted share, for the quarter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Six Months Ended June 30, 2026 Financial Results Summary</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for the six months ended June 30, 2026 was $6,408,000, or $0.03 per diluted share, compared to net income attributable to common shareholders of $830,661,000, or $4.14 per diluted share, for the six months ended June 30, 2025. The decrease is primarily due to the $803,248,000 gain related to the 770 Broadway master lease with NYU during the six months ended June 30, 2025.</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FFO attributable to common shareholders plus assumed conversions for the six months ended June 30, 2026 was $240,391,000, or $1.22 per diluted share, compared to $256,028,000, or $1.27 per diluted share, for the six months ended June 30, 2025. FFO attributable to common shareholders plus assumed conversions for the six months ended June 30, 2026 and 2025 include certain items that impact the comparability of period-to-period FFO, which are listed in the table below. The aggregate of these items, net of amounts attributable to noncontrolling interests, increased FFO attributable to common shareholders plus assumed conversions for the six months ended June 30, 2026 by $6,150,000, or $0.03 per diluted share and $16,400,000, or $0.08 per diluted share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difference between our FFO attributable to common shareholders plus assumed conversions and our FFO attributable to common shareholders plus assumed conversions, as adjusted:</w:t>
      </w:r>
    </w:p>
    <w:tbl>
      <w:tblPr>
        <w:tblW w:w="10205" w:type="dxa"/>
        <w:jc w:val="left"/>
        <w:tblInd w:w="0" w:type="dxa"/>
        <w:tblLayout w:type="fixed"/>
        <w:tblCellMar>
          <w:top w:w="28" w:type="dxa"/>
          <w:left w:w="28" w:type="dxa"/>
          <w:bottom w:w="28" w:type="dxa"/>
          <w:right w:w="28" w:type="dxa"/>
        </w:tblCellMar>
      </w:tblPr>
      <w:tblGrid>
        <w:gridCol w:w="1896"/>
        <w:gridCol w:w="1490"/>
        <w:gridCol w:w="1495"/>
        <w:gridCol w:w="219"/>
        <w:gridCol w:w="776"/>
        <w:gridCol w:w="121"/>
        <w:gridCol w:w="121"/>
        <w:gridCol w:w="121"/>
        <w:gridCol w:w="121"/>
        <w:gridCol w:w="219"/>
        <w:gridCol w:w="675"/>
        <w:gridCol w:w="121"/>
        <w:gridCol w:w="109"/>
        <w:gridCol w:w="109"/>
        <w:gridCol w:w="109"/>
        <w:gridCol w:w="206"/>
        <w:gridCol w:w="730"/>
        <w:gridCol w:w="114"/>
        <w:gridCol w:w="114"/>
        <w:gridCol w:w="114"/>
        <w:gridCol w:w="114"/>
        <w:gridCol w:w="206"/>
        <w:gridCol w:w="730"/>
        <w:gridCol w:w="175"/>
      </w:tblGrid>
      <w:tr>
        <w:trPr/>
        <w:tc>
          <w:tcPr>
            <w:tcW w:w="18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Certain (income) expense items that impact FFO attributable to common shareholders plus assumed conversions: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606 Broadway debt extinguishment gain, net of noncontrolling interests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on our investment in the Farley Building (held through a taxable REIT subsidiary)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Canal Street residential condominium units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(10,337)</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After-tax net gain on sale of 220 Central Park South ("220 CPS") condominium units and ancillary amenities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(11,110)</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share of above adjustments on a dilutive basis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of certain (income) expense items that impact FFO attributable to common shareholders plus assumed conversions, net</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(6,150)</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(16,400)</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Overview - continued</w:t>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Same Store Net Operating Income (“NOI”) At Share</w:t>
      </w:r>
    </w:p>
    <w:p>
      <w:pPr>
        <w:pStyle w:val="TextBody"/>
        <w:bidi w:val="0"/>
        <w:spacing w:lineRule="auto" w:line="288" w:before="60" w:after="283"/>
        <w:ind w:left="0" w:right="0" w:firstLine="360"/>
        <w:jc w:val="both"/>
        <w:rPr/>
      </w:pPr>
      <w:r>
        <w:rPr>
          <w:rFonts w:ascii="Times New Roman;serif" w:hAnsi="Times New Roman;serif"/>
          <w:b w:val="false"/>
          <w:color w:val="000000"/>
          <w:sz w:val="20"/>
        </w:rPr>
        <w:t>The percentage</w:t>
      </w:r>
      <w:r>
        <w:rPr>
          <w:color w:val="EE2724"/>
        </w:rPr>
        <w:t xml:space="preserve"> </w:t>
      </w:r>
      <w:r>
        <w:rPr>
          <w:rFonts w:ascii="Times New Roman;serif" w:hAnsi="Times New Roman;serif"/>
          <w:b w:val="false"/>
          <w:color w:val="000000"/>
          <w:sz w:val="20"/>
        </w:rPr>
        <w:t>increase (decrease) in same store NOI at share and same store NOI at share - cash basis of our New York segment, THE MART and 555 California Street are below.</w:t>
      </w:r>
    </w:p>
    <w:tbl>
      <w:tblPr>
        <w:tblW w:w="10205" w:type="dxa"/>
        <w:jc w:val="left"/>
        <w:tblInd w:w="0" w:type="dxa"/>
        <w:tblLayout w:type="fixed"/>
        <w:tblCellMar>
          <w:top w:w="28" w:type="dxa"/>
          <w:left w:w="28" w:type="dxa"/>
          <w:bottom w:w="28" w:type="dxa"/>
          <w:right w:w="28" w:type="dxa"/>
        </w:tblCellMar>
      </w:tblPr>
      <w:tblGrid>
        <w:gridCol w:w="1572"/>
        <w:gridCol w:w="1380"/>
        <w:gridCol w:w="1390"/>
        <w:gridCol w:w="109"/>
        <w:gridCol w:w="109"/>
        <w:gridCol w:w="109"/>
        <w:gridCol w:w="188"/>
        <w:gridCol w:w="188"/>
        <w:gridCol w:w="262"/>
        <w:gridCol w:w="109"/>
        <w:gridCol w:w="109"/>
        <w:gridCol w:w="109"/>
        <w:gridCol w:w="233"/>
        <w:gridCol w:w="233"/>
        <w:gridCol w:w="432"/>
        <w:gridCol w:w="109"/>
        <w:gridCol w:w="109"/>
        <w:gridCol w:w="109"/>
        <w:gridCol w:w="234"/>
        <w:gridCol w:w="233"/>
        <w:gridCol w:w="511"/>
        <w:gridCol w:w="109"/>
        <w:gridCol w:w="109"/>
        <w:gridCol w:w="109"/>
        <w:gridCol w:w="411"/>
        <w:gridCol w:w="408"/>
        <w:gridCol w:w="906"/>
        <w:gridCol w:w="316"/>
      </w:tblGrid>
      <w:tr>
        <w:trPr/>
        <w:tc>
          <w:tcPr>
            <w:tcW w:w="157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MART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555 California Street</w:t>
            </w:r>
            <w:r>
              <w:rPr>
                <w:rFonts w:ascii="Times New Roman;serif" w:hAnsi="Times New Roman;serif"/>
                <w:b/>
                <w:color w:val="000000"/>
                <w:sz w:val="10"/>
              </w:rPr>
              <w:t>(1)</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 increase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June 30, 2026 compared to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1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Six months ended June 30, 2026 compared to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 cash basis % 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June 30, 2026 compared to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1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Six months ended June 30, 2026 compared to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0"/>
        </w:rPr>
      </w:pPr>
      <w:r>
        <w:rPr>
          <w:rFonts w:ascii="Times New Roman;serif" w:hAnsi="Times New Roman;serif"/>
          <w:b w:val="false"/>
          <w:color w:val="000000"/>
          <w:sz w:val="10"/>
        </w:rPr>
        <w:t>____________________________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Variance in same store NOI at share vs. same store NOI at share - cash basis is primarily due to GAAP rent commencing on new leases with free rent periods.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Calculations of same store NOI at share, reconciliations of our net income (loss) to NOI at share, NOI at share - cash basis and FFO and the reasons we consider these non-GAAP financial measures useful are provided in the following pages of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Park Avenue Plaza</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11, 2026, we completed the purchase of a 49.0% interest in Park Avenue Plaza at a gross asset valuation of $1.1 billion ($950 per square foot). We acquired our interest subject to our share of the $575,000,000 loan encumbering the property, resulting in a cash purchase price of approximately $230,000,000, net of seller credits and inclusive of transaction costs. The loan bears interest at a fixed rate of 2.99% and matures in November 2031.</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Park Avenue Plaza is a 45-story, 1.2 million rentable square foot building located at 55 East 52nd Street. The office building, co-owned by Fisher Brothers, has protected Park Avenue views and occupies the full through-block between East 52nd and East 53rd Street.</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Fisher Brothers retains its current 51.0% ownership interest and continues to manage and lease the property. Vornado and Fisher Brothers have joint control over major decisions.</w:t>
      </w:r>
    </w:p>
    <w:p>
      <w:pPr>
        <w:pStyle w:val="TextBody"/>
        <w:bidi w:val="0"/>
        <w:spacing w:lineRule="auto" w:line="288" w:before="60" w:after="283"/>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3 East 54th Street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we acquired 3 East 54th Street, an asset situated on 18,400 square feet of land, for $141,000,000. Previously, in July 2025, we purchased the $35,000,000 A-Note secured by the property at par plus accrued interest, and in August 2024, we purchased the $50,000,000 B-Note secured by the property. The A-Note and B-Note were in default. The $107,000,000 loan balance, including default interest and advances, was credited towards the purchase price.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East 54th Street is located between Fifth Avenue and Madison Avenue on 54th Street, adjacent to the St. Regis Hotel and our Upper Fifth Avenue retail properties. The land is zoned for approximately 232,500 buildable square feet as-of-right, and we are in the process of demolishing the existing buildings on the site.</w:t>
      </w:r>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Dispositions</w:t>
      </w:r>
    </w:p>
    <w:p>
      <w:pPr>
        <w:pStyle w:val="TextBody"/>
        <w:bidi w:val="0"/>
        <w:spacing w:lineRule="auto" w:line="288" w:before="60" w:after="6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606 Broadway</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14, 2026, a 50.0% owned consolidated joint venture completed the sale of 606 Broadway. The purchaser acquired the non-recourse mortgage loan, which was in maturity default, at a discount and paid the joint venture $3,000,000 in cash ($2,400,000 to Vornado). The transaction resulted in a $32,073,000 gain on debt extinguishment, of which $15,932,000 is attributable to noncontrolling interests. The property was previously impaired in the fourth quarter of 2023, and had a carrying value of $52,073,000 as of the sale date.</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Alexander’s, Inc. (“Alexander’s”)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28, 2026, Alexander’s, in which we own a 32.4% interest, completed the sale of its Rego Park I property for $235,500,000. As a result of the sale, we recognized our $44,329,000 share of the net gain and received a $2,355,000 sales commission paid by Alexander’s, of which $500,000 was paid to a third-party broker.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Overview - continued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Financings</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888 Seventh Avenue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10, 2025, the $244,543,000 non-recourse mortgage loan on 888 Seventh Avenue matured and was not repaid, at which time the lenders declared an event of default. On March 9, 2026, we entered into a forbearance agreement pursuant to which the lenders agreed to forbear from exercising their remedies and waived default interest through March 2027. During the forbearance period, regularly scheduled interest and required monthly amortization payments continue to accrue, but payment is deferred until the expiration or earlier termination of the forbearance period, at which time such amounts become due and payable. </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2031 Revolving Credit Facility</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2026, we completed a $1.105 billion refinancing of one of our two revolving credit facilities. On February 4, 2026, the facility was upsized to $1.130 billion. The $1.130 billion amended facility currently bears interest at a rate of SOFR plus 1.01% and is scheduled to mature in February 2031 (as fully extended). The facility fee is 24 basis points. The facility replaced the previous $1.25 billion revolving credit facility which was scheduled to mature in December 2027. </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2029 Revolving Credit Facility</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we upsized our $915,000,000 revolving credit facility that matures in April 2029 (as fully extended) to $1.0 billion. The credit facility currently bears interest at a rate of SOFR plus 1.16% and has a facility fee of 24 basis points.</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 xml:space="preserve">Unsecured Term Loan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we completed a refinancing of our unsecured term loan and upsized the loan amount to $850,000,000. The loan bears interest at SOFR plus 1.15% and matures in February 2031 (as fully extended). The loan replaced the previous $800,000,000 term loan which bore interest at SOFR plus 1.25% and was scheduled to mature in December 2027.</w:t>
      </w:r>
    </w:p>
    <w:p>
      <w:pPr>
        <w:pStyle w:val="TextBody"/>
        <w:bidi w:val="0"/>
        <w:spacing w:lineRule="auto" w:line="288" w:before="60" w:after="283"/>
        <w:ind w:left="0" w:right="0" w:hanging="360"/>
        <w:jc w:val="both"/>
        <w:rPr/>
      </w:pPr>
      <w:r>
        <w:rPr>
          <w:rFonts w:ascii="Times New Roman;serif" w:hAnsi="Times New Roman;serif"/>
          <w:b w:val="false"/>
          <w:i/>
          <w:color w:val="000000"/>
          <w:sz w:val="20"/>
        </w:rPr>
        <w:t xml:space="preserve">Senior Unsecured Notes Due </w:t>
      </w:r>
      <w:r>
        <w:rPr>
          <w:rFonts w:ascii="Times New Roman;serif" w:hAnsi="Times New Roman;serif"/>
          <w:b w:val="false"/>
          <w:color w:val="000000"/>
          <w:sz w:val="20"/>
        </w:rPr>
        <w:t>2033</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was used to repay our $400,000,000 senior unsecured notes at their June 2026 maturity. </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7 West 34th Street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23, 2026, a joint venture, in which we have a 53.0% interest, completed a $250,000,000 refinancing of 7 West 34th Street, a 477,000 square foot Manhattan office and retail building. The non-recourse, five-year interest-only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distributions.</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 xml:space="preserve">825 Seventh Avenue Office Condominium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The non-recourse interest-only loan bears interest at a rate of SOFR plus 2.75% and matures in October 2026, with a fifteen-month extension option subject to loan-to-value and debt yield requirements.</w:t>
      </w:r>
    </w:p>
    <w:p>
      <w:pPr>
        <w:pStyle w:val="TextBody"/>
        <w:bidi w:val="0"/>
        <w:spacing w:lineRule="auto" w:line="288" w:before="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One Park Avenue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350 Park Avenue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10, 2026, an affiliate of Kenneth C. Griffin (“KG”) provided a $400,000,000 mortgage loan secured by 350 Park Avenue, the proceeds of which were used to defease the existing $400,000,000 mortgage loan in connection with the site’s development. The new interest-only loan bears interest at a fixed rate of 4.00% and matures in January 2027. Concurrently, and in connection with the planned development, Citadel Enterprise Americas LLC vacated the building and assigned its existing master lease to an affiliate of KG as tenant, and the lease was amended to provide for net rent of $16,000,000 per annum, equal to the interest payments under the new mortgage loan.</w:t>
      </w:r>
    </w:p>
    <w:p>
      <w:pPr>
        <w:pStyle w:val="TextBody"/>
        <w:bidi w:val="0"/>
        <w:spacing w:lineRule="auto" w:line="288" w:before="60" w:after="6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Sustainability Margin Adjustment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we qualified for a sustainability margin adjustment on our unsecured term loan and $1.130 billion revolving credit facility and re-qualified on our $1.0 billion revolving credit facility by achieving certain Key Performance Indicator (“KPI”) metrics, which reduced our interest rate by 0.05% for our term loan and 0.04% for our credit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Overview - continued</w:t>
      </w:r>
    </w:p>
    <w:p>
      <w:pPr>
        <w:pStyle w:val="TextBody"/>
        <w:bidi w:val="0"/>
        <w:spacing w:lineRule="auto" w:line="288" w:before="120" w:after="283"/>
        <w:ind w:left="0" w:right="0" w:hanging="360"/>
        <w:jc w:val="both"/>
        <w:rPr>
          <w:rFonts w:ascii="Times New Roman;serif" w:hAnsi="Times New Roman;serif"/>
          <w:b/>
          <w:color w:val="000000"/>
          <w:sz w:val="20"/>
        </w:rPr>
      </w:pPr>
      <w:r>
        <w:rPr>
          <w:rFonts w:ascii="Times New Roman;serif" w:hAnsi="Times New Roman;serif"/>
          <w:b/>
          <w:color w:val="000000"/>
          <w:sz w:val="20"/>
        </w:rPr>
        <w:t>Financings - continued</w:t>
      </w:r>
    </w:p>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61 Ninth Avenue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8, 2026, a joint venture, in which we have a 45.1% interest, completed a $161,000,000 refinancing of 61 Ninth Avenue. The interest-only mortgage loan matures in June 2028, with a nine-month extension option subject to certain conditions, and bears interest at SOFR plus 3.00% in year one, SOFR plus 3.35% for year two, and SOFR plus 3.85% during the extension period. The refinancing replaced the joint venture’s prior $167,500,000 mortgage loan on the property. On February 2, 2026, the joint venture extended the prior loan’s maturity by seven months and simultaneously paid down the principal balance by $12,500,000 to $155,000,000. </w:t>
      </w:r>
    </w:p>
    <w:p>
      <w:pPr>
        <w:pStyle w:val="TextBody"/>
        <w:bidi w:val="0"/>
        <w:spacing w:lineRule="auto" w:line="288" w:before="60" w:after="283"/>
        <w:ind w:left="0" w:right="0" w:hanging="360"/>
        <w:jc w:val="both"/>
        <w:rPr/>
      </w:pPr>
      <w:r>
        <w:rPr>
          <w:rFonts w:ascii="Times New Roman;serif" w:hAnsi="Times New Roman;serif"/>
          <w:b w:val="false"/>
          <w:i/>
          <w:color w:val="000000"/>
          <w:sz w:val="20"/>
        </w:rPr>
        <w:t xml:space="preserve">Senior Unsecured Notes Due </w:t>
      </w:r>
      <w:r>
        <w:rPr>
          <w:rFonts w:ascii="Times New Roman;serif" w:hAnsi="Times New Roman;serif"/>
          <w:b w:val="false"/>
          <w:color w:val="000000"/>
          <w:sz w:val="20"/>
        </w:rPr>
        <w:t>2026</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We repaid our $400,000,000 2.15% senior unsecured notes on their June 1, 2026 maturity date.</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1,787,090 common shares for $53,461,000 at an average price per share of $29.92.</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2023, our Board of Trustees authorized a share repurchase plan under which Vornado is authorized to repurchase up to $200,000,000 of its outstanding common shares. Subsequently, on April 29, 2026, our Board of Trustees authorized an additional $300,000,000 under the share repurchase plan. As of August 3, 2026, $286,590,000 remained available for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Overview - 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Leasing Activity</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leasing activity and related statistics in the tables below are based on leases signed during the period and are not intended to coincide with the commencement of rental revenue in accordance with accounting principles generally accepted in the United States of America (“GAAP”). Second generation relet space represents square footage that has not been vacant for more than nine months and tenant improvements and leasing commissions are based on our share of square feet leased during the period.</w:t>
      </w:r>
    </w:p>
    <w:tbl>
      <w:tblPr>
        <w:tblW w:w="9596" w:type="dxa"/>
        <w:jc w:val="left"/>
        <w:tblInd w:w="0" w:type="dxa"/>
        <w:tblLayout w:type="fixed"/>
        <w:tblCellMar>
          <w:top w:w="28" w:type="dxa"/>
          <w:left w:w="28" w:type="dxa"/>
          <w:bottom w:w="28" w:type="dxa"/>
          <w:right w:w="28" w:type="dxa"/>
        </w:tblCellMar>
      </w:tblPr>
      <w:tblGrid>
        <w:gridCol w:w="1245"/>
        <w:gridCol w:w="1092"/>
        <w:gridCol w:w="1097"/>
        <w:gridCol w:w="109"/>
        <w:gridCol w:w="109"/>
        <w:gridCol w:w="109"/>
        <w:gridCol w:w="196"/>
        <w:gridCol w:w="646"/>
        <w:gridCol w:w="241"/>
        <w:gridCol w:w="109"/>
        <w:gridCol w:w="109"/>
        <w:gridCol w:w="109"/>
        <w:gridCol w:w="196"/>
        <w:gridCol w:w="646"/>
        <w:gridCol w:w="241"/>
        <w:gridCol w:w="109"/>
        <w:gridCol w:w="109"/>
        <w:gridCol w:w="109"/>
        <w:gridCol w:w="196"/>
        <w:gridCol w:w="556"/>
        <w:gridCol w:w="241"/>
        <w:gridCol w:w="109"/>
        <w:gridCol w:w="109"/>
        <w:gridCol w:w="109"/>
        <w:gridCol w:w="320"/>
        <w:gridCol w:w="908"/>
        <w:gridCol w:w="467"/>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(Square feet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555 California Street</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MART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square feet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4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Our share of square feet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16"/>
              </w:rPr>
              <w:t>Initial rent</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71.70 </w:t>
            </w:r>
          </w:p>
        </w:tc>
        <w:tc>
          <w:tcPr>
            <w:tcW w:w="46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lease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6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Second generation relet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Square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16"/>
              </w:rPr>
              <w:t>Straight-line rent</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straight-line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Percentage increase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basis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16"/>
              </w:rPr>
              <w:t>Initial rent</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escalated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improvements and leasing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square foot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49.39 </w:t>
            </w:r>
          </w:p>
        </w:tc>
        <w:tc>
          <w:tcPr>
            <w:tcW w:w="46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square foot per annum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19.76 </w:t>
            </w:r>
          </w:p>
        </w:tc>
        <w:tc>
          <w:tcPr>
            <w:tcW w:w="46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of initial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20"/>
        <w:jc w:val="both"/>
        <w:rPr>
          <w:rFonts w:ascii="Times New Roman;serif" w:hAnsi="Times New Roman;serif"/>
          <w:b w:val="false"/>
          <w:color w:val="000000"/>
          <w:sz w:val="10"/>
        </w:rPr>
      </w:pPr>
      <w:r>
        <w:rPr>
          <w:rFonts w:ascii="Times New Roman;serif" w:hAnsi="Times New Roman;serif"/>
          <w:b w:val="false"/>
          <w:color w:val="000000"/>
          <w:sz w:val="10"/>
        </w:rPr>
        <w:t>_______________________________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See notes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97" w:type="dxa"/>
        <w:jc w:val="left"/>
        <w:tblInd w:w="0" w:type="dxa"/>
        <w:tblLayout w:type="fixed"/>
        <w:tblCellMar>
          <w:top w:w="28" w:type="dxa"/>
          <w:left w:w="28" w:type="dxa"/>
          <w:bottom w:w="28" w:type="dxa"/>
          <w:right w:w="28" w:type="dxa"/>
        </w:tblCellMar>
      </w:tblPr>
      <w:tblGrid>
        <w:gridCol w:w="1245"/>
        <w:gridCol w:w="1093"/>
        <w:gridCol w:w="1097"/>
        <w:gridCol w:w="109"/>
        <w:gridCol w:w="109"/>
        <w:gridCol w:w="109"/>
        <w:gridCol w:w="196"/>
        <w:gridCol w:w="646"/>
        <w:gridCol w:w="241"/>
        <w:gridCol w:w="109"/>
        <w:gridCol w:w="109"/>
        <w:gridCol w:w="109"/>
        <w:gridCol w:w="196"/>
        <w:gridCol w:w="646"/>
        <w:gridCol w:w="241"/>
        <w:gridCol w:w="109"/>
        <w:gridCol w:w="109"/>
        <w:gridCol w:w="109"/>
        <w:gridCol w:w="196"/>
        <w:gridCol w:w="556"/>
        <w:gridCol w:w="241"/>
        <w:gridCol w:w="109"/>
        <w:gridCol w:w="109"/>
        <w:gridCol w:w="109"/>
        <w:gridCol w:w="294"/>
        <w:gridCol w:w="971"/>
        <w:gridCol w:w="430"/>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(Square feet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555 California Street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MART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square feet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4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Our share of square feet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16"/>
              </w:rPr>
              <w:t>Initial rent</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141.28 </w:t>
            </w:r>
          </w:p>
        </w:tc>
        <w:tc>
          <w:tcPr>
            <w:tcW w:w="43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lease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43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Second generation relet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Square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43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16"/>
              </w:rPr>
              <w:t>Straight-line rent</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178.18 </w:t>
            </w:r>
          </w:p>
        </w:tc>
        <w:tc>
          <w:tcPr>
            <w:tcW w:w="430"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straight-line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123.11 </w:t>
            </w:r>
          </w:p>
        </w:tc>
        <w:tc>
          <w:tcPr>
            <w:tcW w:w="430"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Percentage increase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basis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16"/>
              </w:rPr>
              <w:t>Initial rent</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162.85 </w:t>
            </w:r>
          </w:p>
        </w:tc>
        <w:tc>
          <w:tcPr>
            <w:tcW w:w="430"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escalated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134.95 </w:t>
            </w:r>
          </w:p>
        </w:tc>
        <w:tc>
          <w:tcPr>
            <w:tcW w:w="430"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improvements and leasing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square foot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159.54 </w:t>
            </w:r>
          </w:p>
        </w:tc>
        <w:tc>
          <w:tcPr>
            <w:tcW w:w="43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square foot per annum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18.55 </w:t>
            </w:r>
          </w:p>
        </w:tc>
        <w:tc>
          <w:tcPr>
            <w:tcW w:w="430"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Percentage of initial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60" w:after="60"/>
        <w:jc w:val="both"/>
        <w:rPr>
          <w:rFonts w:ascii="Times New Roman;serif" w:hAnsi="Times New Roman;serif"/>
          <w:b w:val="false"/>
          <w:color w:val="000000"/>
          <w:sz w:val="10"/>
        </w:rPr>
      </w:pPr>
      <w:r>
        <w:rPr>
          <w:rFonts w:ascii="Times New Roman;serif" w:hAnsi="Times New Roman;serif"/>
          <w:b w:val="false"/>
          <w:color w:val="000000"/>
          <w:sz w:val="10"/>
        </w:rPr>
        <w:t>_______________________________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Represents the GAAP basis weighted average rent per square foot that is recognized over the term of the respective leases and includes the effect of free rent and periodic step-ups in rent.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Overview - continued</w:t>
      </w:r>
    </w:p>
    <w:p>
      <w:pPr>
        <w:pStyle w:val="TextBody"/>
        <w:bidi w:val="0"/>
        <w:spacing w:lineRule="auto" w:line="288" w:before="120" w:after="283"/>
        <w:jc w:val="both"/>
        <w:rPr/>
      </w:pPr>
      <w:r>
        <w:rPr>
          <w:rFonts w:ascii="Times New Roman;serif" w:hAnsi="Times New Roman;serif"/>
          <w:b/>
          <w:color w:val="000000"/>
          <w:sz w:val="20"/>
        </w:rPr>
        <w:t>Square Footage (in service) and Occupancy as of June 30, 2026</w:t>
      </w:r>
      <w:r>
        <w:rPr>
          <w:rFonts w:ascii="Times New Roman;serif" w:hAnsi="Times New Roman;serif"/>
          <w:b/>
          <w:color w:val="000000"/>
          <w:sz w:val="13"/>
        </w:rPr>
        <w:t>(1)</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77"/>
        <w:gridCol w:w="1547"/>
        <w:gridCol w:w="1555"/>
        <w:gridCol w:w="293"/>
        <w:gridCol w:w="293"/>
        <w:gridCol w:w="294"/>
        <w:gridCol w:w="109"/>
        <w:gridCol w:w="109"/>
        <w:gridCol w:w="109"/>
        <w:gridCol w:w="323"/>
        <w:gridCol w:w="323"/>
        <w:gridCol w:w="256"/>
        <w:gridCol w:w="190"/>
        <w:gridCol w:w="190"/>
        <w:gridCol w:w="190"/>
        <w:gridCol w:w="323"/>
        <w:gridCol w:w="323"/>
        <w:gridCol w:w="192"/>
        <w:gridCol w:w="109"/>
        <w:gridCol w:w="109"/>
        <w:gridCol w:w="109"/>
        <w:gridCol w:w="264"/>
        <w:gridCol w:w="260"/>
        <w:gridCol w:w="579"/>
        <w:gridCol w:w="109"/>
        <w:gridCol w:w="109"/>
        <w:gridCol w:w="161"/>
      </w:tblGrid>
      <w:tr>
        <w:trPr/>
        <w:tc>
          <w:tcPr>
            <w:tcW w:w="177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(Square feet in thousands)</w:t>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 (in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Portfolio</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Occupancy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w:t>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Office </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(includes retail properties that are in the base of our office properties)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Residential - 1,640 units</w:t>
            </w:r>
            <w:r>
              <w:rPr>
                <w:rFonts w:ascii="Times New Roman;serif" w:hAnsi="Times New Roman;serif"/>
                <w:b/>
                <w:color w:val="000000"/>
                <w:sz w:val="10"/>
              </w:rPr>
              <w:t>(3)</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(3)</w:t>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Alexander's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(3)</w:t>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MART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555 California Street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square feet as of June 30, 2026</w:t>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34,031 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26,516 </w:t>
            </w:r>
          </w:p>
        </w:tc>
        <w:tc>
          <w:tcPr>
            <w:tcW w:w="1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See notes below.</w: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Square Footage (in service) and Occupancy as of December 31, 2025</w:t>
      </w:r>
      <w:r>
        <w:rPr>
          <w:rFonts w:ascii="Times New Roman;serif" w:hAnsi="Times New Roman;serif"/>
          <w:b/>
          <w:color w:val="000000"/>
          <w:sz w:val="13"/>
        </w:rPr>
        <w:t>(1)</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77"/>
        <w:gridCol w:w="1547"/>
        <w:gridCol w:w="1555"/>
        <w:gridCol w:w="293"/>
        <w:gridCol w:w="293"/>
        <w:gridCol w:w="294"/>
        <w:gridCol w:w="109"/>
        <w:gridCol w:w="109"/>
        <w:gridCol w:w="109"/>
        <w:gridCol w:w="323"/>
        <w:gridCol w:w="323"/>
        <w:gridCol w:w="256"/>
        <w:gridCol w:w="190"/>
        <w:gridCol w:w="190"/>
        <w:gridCol w:w="190"/>
        <w:gridCol w:w="323"/>
        <w:gridCol w:w="323"/>
        <w:gridCol w:w="192"/>
        <w:gridCol w:w="109"/>
        <w:gridCol w:w="109"/>
        <w:gridCol w:w="109"/>
        <w:gridCol w:w="264"/>
        <w:gridCol w:w="260"/>
        <w:gridCol w:w="579"/>
        <w:gridCol w:w="109"/>
        <w:gridCol w:w="109"/>
        <w:gridCol w:w="161"/>
      </w:tblGrid>
      <w:tr>
        <w:trPr/>
        <w:tc>
          <w:tcPr>
            <w:tcW w:w="177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(Square feet in thousands)</w:t>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 (in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Portfolio</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Occupancy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w:t>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(includes retail properties that are in the base of our office properties)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Residential - 1,643 units</w:t>
            </w:r>
            <w:r>
              <w:rPr>
                <w:rFonts w:ascii="Times New Roman;serif" w:hAnsi="Times New Roman;serif"/>
                <w:b/>
                <w:color w:val="000000"/>
                <w:sz w:val="10"/>
              </w:rPr>
              <w:t>(3)</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(3)</w:t>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Alexander's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0"/>
              </w:rPr>
            </w:pPr>
            <w:r>
              <w:rPr>
                <w:rFonts w:ascii="Times New Roman;serif" w:hAnsi="Times New Roman;serif"/>
                <w:b/>
                <w:color w:val="000000"/>
                <w:sz w:val="10"/>
              </w:rPr>
              <w:t>(3)</w:t>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MART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555 California Street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square feet as of December 31, 2025</w:t>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33,357 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26,463 </w:t>
            </w:r>
          </w:p>
        </w:tc>
        <w:tc>
          <w:tcPr>
            <w:tcW w:w="1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20" w:after="283"/>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During the first quarter of 2026, we changed the property composition for our subsegment reporting of net operating income but continue to report our operating metrics, including occupancy, leasing activity, and lease expirations on a space type basis. See pages</w:t>
      </w:r>
      <w:r>
        <w:rPr>
          <w:color w:val="EE2724"/>
        </w:rPr>
        <w:t xml:space="preserve"> </w:t>
      </w:r>
      <w:r>
        <w:rPr>
          <w:rFonts w:ascii="Times New Roman;serif" w:hAnsi="Times New Roman;serif"/>
          <w:b w:val="false"/>
          <w:color w:val="000000"/>
          <w:sz w:val="16"/>
        </w:rPr>
        <w:t>49 and 55 for details of our NOI subsegment change.</w:t>
      </w:r>
    </w:p>
    <w:p>
      <w:pPr>
        <w:pStyle w:val="TextBody"/>
        <w:bidi w:val="0"/>
        <w:spacing w:lineRule="auto" w:line="288" w:before="20" w:after="283"/>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Reflects the Office, Retail and Residential space within our 55 and 56 total New York properties as of June 30, 2026 and December 31, 2025.</w:t>
      </w:r>
    </w:p>
    <w:p>
      <w:pPr>
        <w:pStyle w:val="TextBody"/>
        <w:bidi w:val="0"/>
        <w:spacing w:lineRule="auto" w:line="288" w:before="0" w:after="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The Alexander Apartment Tower (312 units) is reflected in Residential unit count and occupancy.</w:t>
      </w:r>
    </w:p>
    <w:p>
      <w:pPr>
        <w:pStyle w:val="TextBody"/>
        <w:bidi w:val="0"/>
        <w:spacing w:lineRule="auto" w:line="268" w:before="0" w:after="0"/>
        <w:ind w:left="0" w:right="0" w:hanging="360"/>
        <w:jc w:val="both"/>
        <w:rPr/>
      </w:pPr>
      <w:r>
        <w:rPr>
          <w:rFonts w:ascii="Times New Roman;serif" w:hAnsi="Times New Roman;serif"/>
          <w:b/>
          <w:color w:val="000000"/>
          <w:sz w:val="16"/>
        </w:rPr>
        <w:t>(4)</w:t>
      </w:r>
      <w:r>
        <w:rPr>
          <w:rFonts w:ascii="Times New Roman;serif" w:hAnsi="Times New Roman;serif"/>
          <w:b w:val="false"/>
          <w:color w:val="000000"/>
          <w:sz w:val="16"/>
        </w:rPr>
        <w:t>Reflects the reclassification of Sunset Pier 94 and 40 East 66th Street Residential, from the “New York” segment to the “Other” segment during the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A summary of our critical accounting policies and estimates used in the preparation of our consolidated financial statements is included in Part II, Item 7 -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our Annual Report on Form 10-K for the year ended December 31, 2025. For the six months ended June 30, 2026, there were no material changes to these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Recently Issued Accounting Literature</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Refer to Note 3 - </w:t>
      </w:r>
      <w:r>
        <w:rPr>
          <w:rFonts w:ascii="Times New Roman;serif" w:hAnsi="Times New Roman;serif"/>
          <w:b w:val="false"/>
          <w:i/>
          <w:color w:val="000000"/>
          <w:sz w:val="20"/>
        </w:rPr>
        <w:t>Recently Issued Accounting Literature</w:t>
      </w:r>
      <w:r>
        <w:rPr>
          <w:color w:val="000000"/>
        </w:rPr>
        <w:t xml:space="preserve"> </w:t>
      </w:r>
      <w:r>
        <w:rPr>
          <w:rFonts w:ascii="Times New Roman;serif" w:hAnsi="Times New Roman;serif"/>
          <w:b w:val="false"/>
          <w:color w:val="000000"/>
          <w:sz w:val="20"/>
        </w:rPr>
        <w:t>to the unaudited consolidated financial statements in Part I, Item 1 of this Quarterly Report on Form 10-Q for information regarding recent accounting pronouncements that may affect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NOI At Share by Segment for the Three Months Ended June 30, 2026 and 2025</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NOI at share represents total revenues less operating expenses including our share of partially owned entities. NOI at share - cash basis represents NOI at share adjusted to exclude straight-line rental income and expense, amortization of acquired below and above market leases, accruals for ground rent resets yet to be determined, and other non-cash adjustments. We consider NOI at share to be the primary non-GAAP financial measure for making decisions and assessing the unlevered performance of our segments as it relates to the return on assets as opposed to the levered return on equity. As properties are bought and sold based on NOI at share - cash basis, we utilize this measure to make investment decisions as well as to compare the performance of our assets to that of our peers. NOI at share and NOI at share - cash basis should not be considered alternatives to net income or cash flow from operations and may not be comparable to similarly titled measures employed by other companies.</w:t>
      </w:r>
    </w:p>
    <w:p>
      <w:pPr>
        <w:pStyle w:val="TextBody"/>
        <w:bidi w:val="0"/>
        <w:spacing w:lineRule="auto" w:line="288" w:before="60" w:after="283"/>
        <w:ind w:left="0" w:right="0" w:firstLine="360"/>
        <w:jc w:val="both"/>
        <w:rPr/>
      </w:pPr>
      <w:r>
        <w:rPr>
          <w:rFonts w:ascii="Times New Roman;serif" w:hAnsi="Times New Roman;serif"/>
          <w:b w:val="false"/>
          <w:color w:val="000000"/>
          <w:sz w:val="20"/>
        </w:rPr>
        <w:t>Below is a summary of NOI at share and NOI at share - cash basis</w:t>
      </w:r>
      <w:r>
        <w:rPr>
          <w:color w:val="000000"/>
        </w:rPr>
        <w:t xml:space="preserve"> </w:t>
      </w:r>
      <w:r>
        <w:rPr>
          <w:rFonts w:ascii="Times New Roman;serif" w:hAnsi="Times New Roman;serif"/>
          <w:b w:val="false"/>
          <w:color w:val="000000"/>
          <w:sz w:val="20"/>
        </w:rPr>
        <w:t>by segment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2379"/>
        <w:gridCol w:w="2043"/>
        <w:gridCol w:w="2050"/>
        <w:gridCol w:w="196"/>
        <w:gridCol w:w="736"/>
        <w:gridCol w:w="109"/>
        <w:gridCol w:w="109"/>
        <w:gridCol w:w="109"/>
        <w:gridCol w:w="109"/>
        <w:gridCol w:w="196"/>
        <w:gridCol w:w="736"/>
        <w:gridCol w:w="109"/>
        <w:gridCol w:w="109"/>
        <w:gridCol w:w="109"/>
        <w:gridCol w:w="109"/>
        <w:gridCol w:w="196"/>
        <w:gridCol w:w="646"/>
        <w:gridCol w:w="155"/>
      </w:tblGrid>
      <w:tr>
        <w:trPr/>
        <w:tc>
          <w:tcPr>
            <w:tcW w:w="237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7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 consolidated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straight-line rents, amortization of acquired below-market leases, net,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79"/>
        <w:gridCol w:w="2043"/>
        <w:gridCol w:w="2050"/>
        <w:gridCol w:w="196"/>
        <w:gridCol w:w="736"/>
        <w:gridCol w:w="109"/>
        <w:gridCol w:w="109"/>
        <w:gridCol w:w="109"/>
        <w:gridCol w:w="109"/>
        <w:gridCol w:w="196"/>
        <w:gridCol w:w="736"/>
        <w:gridCol w:w="109"/>
        <w:gridCol w:w="109"/>
        <w:gridCol w:w="109"/>
        <w:gridCol w:w="109"/>
        <w:gridCol w:w="196"/>
        <w:gridCol w:w="646"/>
        <w:gridCol w:w="155"/>
      </w:tblGrid>
      <w:tr>
        <w:trPr/>
        <w:tc>
          <w:tcPr>
            <w:tcW w:w="237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7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 consolidated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Non-cash adjustments for straight-line rents, amortization of acquired below-market leases, net,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r>
        <w:rPr>
          <w:rFonts w:ascii="Times New Roman;serif" w:hAnsi="Times New Roman;serif"/>
          <w:b/>
          <w:color w:val="000000"/>
          <w:sz w:val="20"/>
        </w:rPr>
        <w:t>NOI At Share by Segment for the Three Months Ended June 30, 2026 and 2025</w:t>
      </w:r>
      <w:r>
        <w:rPr>
          <w:color w:val="000000"/>
        </w:rPr>
        <w:t xml:space="preserve"> </w:t>
      </w:r>
      <w:r>
        <w:rPr>
          <w:rFonts w:ascii="Times New Roman;serif" w:hAnsi="Times New Roman;serif"/>
          <w:b/>
          <w:color w:val="000000"/>
          <w:sz w:val="20"/>
        </w:rPr>
        <w:t>- continued</w:t>
      </w:r>
    </w:p>
    <w:p>
      <w:pPr>
        <w:pStyle w:val="TextBody"/>
        <w:bidi w:val="0"/>
        <w:spacing w:lineRule="auto" w:line="288" w:before="120" w:after="283"/>
        <w:ind w:left="0" w:right="0" w:firstLine="360"/>
        <w:jc w:val="both"/>
        <w:rPr>
          <w:rFonts w:ascii="Times New Roman;serif" w:hAnsi="Times New Roman;serif"/>
          <w:b w:val="false"/>
          <w:color w:val="000000"/>
          <w:sz w:val="20"/>
        </w:rPr>
      </w:pPr>
      <w:bookmarkStart w:id="5" w:name="i5e81b1c4f5b94539a413189dd8348365_1625"/>
      <w:bookmarkEnd w:id="5"/>
      <w:r>
        <w:rPr>
          <w:rFonts w:ascii="Times New Roman;serif" w:hAnsi="Times New Roman;serif"/>
          <w:b w:val="false"/>
          <w:color w:val="000000"/>
          <w:sz w:val="20"/>
        </w:rPr>
        <w:t>The elements of our New York and Other NOI at share for the three months ended June 30, 2026 and 2025 are summarized below.</w:t>
      </w:r>
    </w:p>
    <w:tbl>
      <w:tblPr>
        <w:tblW w:w="5142" w:type="dxa"/>
        <w:jc w:val="left"/>
        <w:tblInd w:w="0" w:type="dxa"/>
        <w:tblLayout w:type="fixed"/>
        <w:tblCellMar>
          <w:top w:w="28" w:type="dxa"/>
          <w:left w:w="28" w:type="dxa"/>
          <w:bottom w:w="28" w:type="dxa"/>
          <w:right w:w="28" w:type="dxa"/>
        </w:tblCellMar>
      </w:tblPr>
      <w:tblGrid>
        <w:gridCol w:w="777"/>
        <w:gridCol w:w="682"/>
        <w:gridCol w:w="685"/>
        <w:gridCol w:w="231"/>
        <w:gridCol w:w="871"/>
        <w:gridCol w:w="128"/>
        <w:gridCol w:w="128"/>
        <w:gridCol w:w="128"/>
        <w:gridCol w:w="128"/>
        <w:gridCol w:w="231"/>
        <w:gridCol w:w="871"/>
        <w:gridCol w:w="128"/>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Office (includes base retail)</w:t>
            </w:r>
            <w:r>
              <w:rPr>
                <w:rFonts w:ascii="Times New Roman;serif" w:hAnsi="Times New Roman;serif"/>
                <w:b/>
                <w:color w:val="000000"/>
                <w:sz w:val="10"/>
              </w:rPr>
              <w:t>(1)</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Street Retail</w:t>
            </w:r>
            <w:r>
              <w:rPr>
                <w:rFonts w:ascii="Times New Roman;serif" w:hAnsi="Times New Roman;serif"/>
                <w:b/>
                <w:color w:val="000000"/>
                <w:sz w:val="10"/>
              </w:rPr>
              <w:t>(1)</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Alexander's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New York</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MART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555 California Street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investments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52,366 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47,569 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304,064 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277,673 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See notes below.</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elements of our New York and Other NOI at share - cash basis for the three months ended June 30, 2026 and 2025 are summarized below.</w:t>
      </w:r>
    </w:p>
    <w:tbl>
      <w:tblPr>
        <w:tblW w:w="5263" w:type="dxa"/>
        <w:jc w:val="left"/>
        <w:tblInd w:w="0" w:type="dxa"/>
        <w:tblLayout w:type="fixed"/>
        <w:tblCellMar>
          <w:top w:w="28" w:type="dxa"/>
          <w:left w:w="28" w:type="dxa"/>
          <w:bottom w:w="28" w:type="dxa"/>
          <w:right w:w="28" w:type="dxa"/>
        </w:tblCellMar>
      </w:tblPr>
      <w:tblGrid>
        <w:gridCol w:w="821"/>
        <w:gridCol w:w="721"/>
        <w:gridCol w:w="723"/>
        <w:gridCol w:w="231"/>
        <w:gridCol w:w="871"/>
        <w:gridCol w:w="128"/>
        <w:gridCol w:w="128"/>
        <w:gridCol w:w="128"/>
        <w:gridCol w:w="128"/>
        <w:gridCol w:w="231"/>
        <w:gridCol w:w="871"/>
        <w:gridCol w:w="128"/>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Office (includes base retail)</w:t>
            </w:r>
            <w:r>
              <w:rPr>
                <w:rFonts w:ascii="Times New Roman;serif" w:hAnsi="Times New Roman;serif"/>
                <w:b/>
                <w:color w:val="000000"/>
                <w:sz w:val="10"/>
              </w:rPr>
              <w:t>(1)(2)</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Street Retail</w:t>
            </w:r>
            <w:r>
              <w:rPr>
                <w:rFonts w:ascii="Times New Roman;serif" w:hAnsi="Times New Roman;serif"/>
                <w:b/>
                <w:color w:val="000000"/>
                <w:sz w:val="10"/>
              </w:rPr>
              <w:t>(1)</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Alexander's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New York</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214,957 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MART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555 California Street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investments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48,226 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49,353 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w:t>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263,183 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231,719 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0"/>
        <w:jc w:val="both"/>
        <w:rPr>
          <w:rFonts w:ascii="Times New Roman;serif" w:hAnsi="Times New Roman;serif"/>
          <w:b/>
          <w:color w:val="000000"/>
          <w:sz w:val="12"/>
        </w:rPr>
      </w:pPr>
      <w:r>
        <w:rPr>
          <w:rFonts w:ascii="Times New Roman;serif" w:hAnsi="Times New Roman;serif"/>
          <w:b/>
          <w:color w:val="000000"/>
          <w:sz w:val="12"/>
        </w:rPr>
        <w:t>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During the first quarter of 2026, we reclassified retail assets located at the base of our office buildings from the retail subsegment to the office subsegment. The retail subsegment was renamed “Street Retail” and now comprises standalone retail properties and mixed-use assets with prominent retail components, including related signage, with a concentration on High Streets such as Fifth Avenue, Madison Avenue and Times Square. Prior period balances have been reclassified to conform to current period presentation. This change applies only to net operating income; all other operating metrics, including occupancy, leasing activity, and lease expirations continue to be presented based on space type.</w:t>
      </w:r>
    </w:p>
    <w:p>
      <w:pPr>
        <w:pStyle w:val="TextBody"/>
        <w:bidi w:val="0"/>
        <w:spacing w:lineRule="auto" w:line="288" w:before="40" w:after="283"/>
        <w:ind w:left="0" w:right="0" w:hanging="360"/>
        <w:jc w:val="left"/>
        <w:rPr/>
      </w:pPr>
      <w:r>
        <w:rPr>
          <w:rFonts w:ascii="Times New Roman;serif" w:hAnsi="Times New Roman;serif"/>
          <w:b/>
          <w:color w:val="000000"/>
          <w:sz w:val="16"/>
        </w:rPr>
        <w:t>(2)</w:t>
      </w:r>
      <w:r>
        <w:rPr>
          <w:rFonts w:ascii="Times New Roman;serif" w:hAnsi="Times New Roman;serif"/>
          <w:b w:val="false"/>
          <w:color w:val="000000"/>
          <w:sz w:val="16"/>
        </w:rPr>
        <w:t>2025 includes the impact of the payment of $22,361 for prior period PENN 1 ground rent owed based on the rent reset determination.</w:t>
      </w:r>
    </w:p>
    <w:p>
      <w:pPr>
        <w:pStyle w:val="TextBody"/>
        <w:bidi w:val="0"/>
        <w:spacing w:before="40" w:after="283"/>
        <w:jc w:val="left"/>
        <w:rPr/>
      </w:pPr>
      <w:r>
        <w:rPr/>
      </w:r>
    </w:p>
    <w:p>
      <w:pPr>
        <w:pStyle w:val="TextBody"/>
        <w:bidi w:val="0"/>
        <w:spacing w:before="40" w:after="283"/>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Reconciliation of Net Income to NOI At Share and NOI At Share - Cash Basis for the Three Months Ended June 30, 2026 and 2025</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120" w:after="60"/>
        <w:ind w:left="0" w:right="0" w:firstLine="360"/>
        <w:jc w:val="both"/>
        <w:rPr/>
      </w:pPr>
      <w:r>
        <w:rPr/>
      </w:r>
    </w:p>
    <w:p>
      <w:pPr>
        <w:pStyle w:val="TextBody"/>
        <w:bidi w:val="0"/>
        <w:spacing w:before="0" w:after="60"/>
        <w:ind w:left="0" w:right="0" w:firstLine="360"/>
        <w:jc w:val="both"/>
        <w:rPr/>
      </w:pPr>
      <w:r>
        <w:rPr/>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net income to NOI at share and NOI at share - cash basis for the three months ended June 30, 2026 and 2025.</w:t>
      </w:r>
    </w:p>
    <w:tbl>
      <w:tblPr>
        <w:tblW w:w="10205" w:type="dxa"/>
        <w:jc w:val="center"/>
        <w:tblInd w:w="0" w:type="dxa"/>
        <w:tblLayout w:type="fixed"/>
        <w:tblCellMar>
          <w:top w:w="28" w:type="dxa"/>
          <w:left w:w="28" w:type="dxa"/>
          <w:bottom w:w="28" w:type="dxa"/>
          <w:right w:w="28" w:type="dxa"/>
        </w:tblCellMar>
      </w:tblPr>
      <w:tblGrid>
        <w:gridCol w:w="2658"/>
        <w:gridCol w:w="2328"/>
        <w:gridCol w:w="2334"/>
        <w:gridCol w:w="230"/>
        <w:gridCol w:w="865"/>
        <w:gridCol w:w="127"/>
        <w:gridCol w:w="127"/>
        <w:gridCol w:w="127"/>
        <w:gridCol w:w="127"/>
        <w:gridCol w:w="230"/>
        <w:gridCol w:w="865"/>
        <w:gridCol w:w="187"/>
      </w:tblGrid>
      <w:tr>
        <w:trPr/>
        <w:tc>
          <w:tcPr>
            <w:tcW w:w="265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813,227 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related costs and other</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partially owned entities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investment income,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debt extinguishment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sales-type lease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debt expense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disposition of wholly owned and partially owned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from partially owned entities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attributable to noncontrolling interests in consolidated subsidiaries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304,064 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277,673 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straight-line rents, amortization of acquired below-market leases, net, and other</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(45,954)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263,183 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231,719 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60"/>
        <w:jc w:val="both"/>
        <w:rPr>
          <w:rFonts w:ascii="Times New Roman;serif" w:hAnsi="Times New Roman;serif"/>
          <w:b/>
          <w:color w:val="000000"/>
          <w:sz w:val="20"/>
        </w:rPr>
      </w:pPr>
      <w:r>
        <w:rPr>
          <w:rFonts w:ascii="Times New Roman;serif" w:hAnsi="Times New Roman;serif"/>
          <w:b/>
          <w:color w:val="000000"/>
          <w:sz w:val="20"/>
        </w:rPr>
        <w:t>NOI At Share by Region</w:t>
      </w:r>
    </w:p>
    <w:tbl>
      <w:tblPr>
        <w:tblW w:w="5321" w:type="dxa"/>
        <w:jc w:val="left"/>
        <w:tblInd w:w="0" w:type="dxa"/>
        <w:tblLayout w:type="fixed"/>
        <w:tblCellMar>
          <w:top w:w="28" w:type="dxa"/>
          <w:left w:w="28" w:type="dxa"/>
          <w:bottom w:w="28" w:type="dxa"/>
          <w:right w:w="28" w:type="dxa"/>
        </w:tblCellMar>
      </w:tblPr>
      <w:tblGrid>
        <w:gridCol w:w="877"/>
        <w:gridCol w:w="773"/>
        <w:gridCol w:w="780"/>
        <w:gridCol w:w="244"/>
        <w:gridCol w:w="244"/>
        <w:gridCol w:w="541"/>
        <w:gridCol w:w="244"/>
        <w:gridCol w:w="244"/>
        <w:gridCol w:w="244"/>
        <w:gridCol w:w="244"/>
        <w:gridCol w:w="244"/>
        <w:gridCol w:w="642"/>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Region:</w:t>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City metropolitan area</w:t>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100" w:after="283"/>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Results of Operations – Three Months Ended June 30, 2026 Compared to June 30, 2025 </w:t>
      </w:r>
    </w:p>
    <w:p>
      <w:pPr>
        <w:pStyle w:val="TextBody"/>
        <w:bidi w:val="0"/>
        <w:spacing w:lineRule="auto" w:line="288" w:before="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Revenues</w:t>
      </w:r>
    </w:p>
    <w:p>
      <w:pPr>
        <w:pStyle w:val="TextBody"/>
        <w:bidi w:val="0"/>
        <w:spacing w:lineRule="auto" w:line="288" w:before="0" w:after="60"/>
        <w:ind w:left="0" w:right="0" w:firstLine="360"/>
        <w:jc w:val="both"/>
        <w:rPr/>
      </w:pPr>
      <w:r>
        <w:rPr>
          <w:rFonts w:ascii="Times New Roman;serif" w:hAnsi="Times New Roman;serif"/>
          <w:b w:val="false"/>
          <w:color w:val="000000"/>
          <w:sz w:val="20"/>
        </w:rPr>
        <w:t>Our revenues were $462,242,000 for the three months ended June 30, 2026, compared to $441,437,000 for the prior year’s quarter, an increase of $20,805,000. Below are the details of the increase (decrease)</w:t>
      </w:r>
      <w:r>
        <w:rPr>
          <w:color w:val="EE2724"/>
        </w:rPr>
        <w:t xml:space="preserve"> </w:t>
      </w:r>
      <w:r>
        <w:rPr>
          <w:rFonts w:ascii="Times New Roman;serif" w:hAnsi="Times New Roman;serif"/>
          <w:b w:val="false"/>
          <w:color w:val="000000"/>
          <w:sz w:val="20"/>
        </w:rPr>
        <w:t>by segment:</w:t>
      </w:r>
    </w:p>
    <w:tbl>
      <w:tblPr>
        <w:tblW w:w="6316" w:type="dxa"/>
        <w:jc w:val="left"/>
        <w:tblInd w:w="0" w:type="dxa"/>
        <w:tblLayout w:type="fixed"/>
        <w:tblCellMar>
          <w:top w:w="28" w:type="dxa"/>
          <w:left w:w="28" w:type="dxa"/>
          <w:bottom w:w="28" w:type="dxa"/>
          <w:right w:w="28" w:type="dxa"/>
        </w:tblCellMar>
      </w:tblPr>
      <w:tblGrid>
        <w:gridCol w:w="968"/>
        <w:gridCol w:w="850"/>
        <w:gridCol w:w="852"/>
        <w:gridCol w:w="196"/>
        <w:gridCol w:w="646"/>
        <w:gridCol w:w="109"/>
        <w:gridCol w:w="109"/>
        <w:gridCol w:w="109"/>
        <w:gridCol w:w="109"/>
        <w:gridCol w:w="196"/>
        <w:gridCol w:w="646"/>
        <w:gridCol w:w="109"/>
        <w:gridCol w:w="109"/>
        <w:gridCol w:w="109"/>
        <w:gridCol w:w="109"/>
        <w:gridCol w:w="196"/>
        <w:gridCol w:w="631"/>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due to:</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Rental revenues: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dispositions and 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and redevelopment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shows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Fee and other income: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BMS cleaning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and leasing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increase (decrease) in revenues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Expenses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expenses were $436,633,000 for the three months ended June 30, 2026, compared to $378,744,000 for the prior year’s quarter, an increase of $57,889,000. Below are the details of the increase (decrease) by segment:</w:t>
      </w:r>
    </w:p>
    <w:tbl>
      <w:tblPr>
        <w:tblW w:w="7350" w:type="dxa"/>
        <w:jc w:val="left"/>
        <w:tblInd w:w="0" w:type="dxa"/>
        <w:tblLayout w:type="fixed"/>
        <w:tblCellMar>
          <w:top w:w="28" w:type="dxa"/>
          <w:left w:w="28" w:type="dxa"/>
          <w:bottom w:w="28" w:type="dxa"/>
          <w:right w:w="28" w:type="dxa"/>
        </w:tblCellMar>
      </w:tblPr>
      <w:tblGrid>
        <w:gridCol w:w="1343"/>
        <w:gridCol w:w="1179"/>
        <w:gridCol w:w="1182"/>
        <w:gridCol w:w="196"/>
        <w:gridCol w:w="646"/>
        <w:gridCol w:w="109"/>
        <w:gridCol w:w="109"/>
        <w:gridCol w:w="109"/>
        <w:gridCol w:w="109"/>
        <w:gridCol w:w="196"/>
        <w:gridCol w:w="646"/>
        <w:gridCol w:w="109"/>
        <w:gridCol w:w="109"/>
        <w:gridCol w:w="109"/>
        <w:gridCol w:w="109"/>
        <w:gridCol w:w="196"/>
        <w:gridCol w:w="631"/>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due to:</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dispositions and 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and redevelopment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Non-reimbursable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shows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BMS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Depreciation and amortization:</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dispositions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and redevelopment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from deferred compensation plan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Transaction related costs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increase (decrease) in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 w:after="283"/>
        <w:jc w:val="both"/>
        <w:rPr/>
      </w:pPr>
      <w:r>
        <w:rPr/>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 Three Months Ended June 30, 2026 Compared to June 30, 2025 - continued</w:t>
      </w:r>
    </w:p>
    <w:p>
      <w:pPr>
        <w:pStyle w:val="TextBody"/>
        <w:bidi w:val="0"/>
        <w:spacing w:lineRule="auto" w:line="288" w:before="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from Partially Owned Entities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the components of income from partially owned entities.</w:t>
      </w:r>
    </w:p>
    <w:tbl>
      <w:tblPr>
        <w:tblW w:w="10205" w:type="dxa"/>
        <w:jc w:val="left"/>
        <w:tblInd w:w="0" w:type="dxa"/>
        <w:tblLayout w:type="fixed"/>
        <w:tblCellMar>
          <w:top w:w="28" w:type="dxa"/>
          <w:left w:w="28" w:type="dxa"/>
          <w:bottom w:w="28" w:type="dxa"/>
          <w:right w:w="28" w:type="dxa"/>
        </w:tblCellMar>
      </w:tblPr>
      <w:tblGrid>
        <w:gridCol w:w="1451"/>
        <w:gridCol w:w="1265"/>
        <w:gridCol w:w="1270"/>
        <w:gridCol w:w="1011"/>
        <w:gridCol w:w="1011"/>
        <w:gridCol w:w="1014"/>
        <w:gridCol w:w="109"/>
        <w:gridCol w:w="109"/>
        <w:gridCol w:w="109"/>
        <w:gridCol w:w="238"/>
        <w:gridCol w:w="788"/>
        <w:gridCol w:w="132"/>
        <w:gridCol w:w="132"/>
        <w:gridCol w:w="132"/>
        <w:gridCol w:w="132"/>
        <w:gridCol w:w="238"/>
        <w:gridCol w:w="788"/>
        <w:gridCol w:w="276"/>
      </w:tblGrid>
      <w:tr>
        <w:trPr/>
        <w:tc>
          <w:tcPr>
            <w:tcW w:w="145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Ownership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Our share of net income (loss):</w:t>
            </w:r>
          </w:p>
        </w:tc>
        <w:tc>
          <w:tcPr>
            <w:tcW w:w="3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Fifth Avenue and Times Square JV:</w:t>
            </w:r>
          </w:p>
        </w:tc>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income</w:t>
            </w:r>
          </w:p>
        </w:tc>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3,649 </w:t>
            </w:r>
          </w:p>
        </w:tc>
        <w:tc>
          <w:tcPr>
            <w:tcW w:w="276"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preferred equity, net of our share of the expense</w:t>
            </w:r>
          </w:p>
        </w:tc>
        <w:tc>
          <w:tcPr>
            <w:tcW w:w="3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vAlign w:val="center"/>
          </w:tcPr>
          <w:p>
            <w:pPr>
              <w:pStyle w:val="TableContents"/>
              <w:bidi w:val="0"/>
              <w:spacing w:before="0" w:after="283"/>
              <w:jc w:val="left"/>
              <w:rPr>
                <w:sz w:val="4"/>
                <w:szCs w:val="4"/>
              </w:rPr>
            </w:pPr>
            <w:r>
              <w:rPr>
                <w:sz w:val="4"/>
                <w:szCs w:val="4"/>
              </w:rPr>
            </w:r>
          </w:p>
        </w:tc>
        <w:tc>
          <w:tcPr>
            <w:tcW w:w="3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Alexander's</w:t>
            </w:r>
            <w:r>
              <w:rPr>
                <w:rFonts w:ascii="Times New Roman;serif" w:hAnsi="Times New Roman;serif"/>
                <w:b/>
                <w:color w:val="000000"/>
                <w:sz w:val="10"/>
              </w:rPr>
              <w:t>(1)</w:t>
            </w:r>
          </w:p>
        </w:tc>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Partially owned office buildings</w:t>
            </w:r>
            <w:r>
              <w:rPr>
                <w:rFonts w:ascii="Times New Roman;serif" w:hAnsi="Times New Roman;serif"/>
                <w:b/>
                <w:color w:val="000000"/>
                <w:sz w:val="10"/>
              </w:rPr>
              <w:t>(2)</w:t>
            </w:r>
          </w:p>
        </w:tc>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investments</w:t>
            </w:r>
            <w:r>
              <w:rPr>
                <w:rFonts w:ascii="Times New Roman;serif" w:hAnsi="Times New Roman;serif"/>
                <w:b/>
                <w:color w:val="000000"/>
                <w:sz w:val="10"/>
              </w:rPr>
              <w:t>(3)</w:t>
            </w:r>
          </w:p>
        </w:tc>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16,671 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color w:val="000000"/>
          <w:sz w:val="12"/>
        </w:rPr>
      </w:pPr>
      <w:r>
        <w:rPr>
          <w:rFonts w:ascii="Times New Roman;serif" w:hAnsi="Times New Roman;serif"/>
          <w:b/>
          <w:color w:val="000000"/>
          <w:sz w:val="12"/>
        </w:rPr>
        <w:t>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On May 28, 2026, Alexander’s completed the sale of its Rego Park I property for $235,500. As a result of the sale, we recognized our $44,329 share of the net gain and received a $2,355 sales commission paid by Alexander’s, of which $500 was paid to a third-party broker.</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Includes interests in 280 Park Avenue, Park Avenue Plaza, 7 West 34th Street, 61 Ninth Avenue, 85 Tenth Avenue and others.</w:t>
      </w:r>
    </w:p>
    <w:p>
      <w:pPr>
        <w:pStyle w:val="TextBody"/>
        <w:bidi w:val="0"/>
        <w:spacing w:lineRule="auto" w:line="288" w:before="0" w:after="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Includes interests in Independence Plaza, Sunset Pier 94 Joint Venture (“Pier 94 JV”), Rosslyn Plaza, and others.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and Other Investment Income, Net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interest and other investment income, net.</w:t>
      </w:r>
    </w:p>
    <w:tbl>
      <w:tblPr>
        <w:tblW w:w="6880" w:type="dxa"/>
        <w:jc w:val="left"/>
        <w:tblInd w:w="0" w:type="dxa"/>
        <w:tblLayout w:type="fixed"/>
        <w:tblCellMar>
          <w:top w:w="28" w:type="dxa"/>
          <w:left w:w="28" w:type="dxa"/>
          <w:bottom w:w="28" w:type="dxa"/>
          <w:right w:w="28" w:type="dxa"/>
        </w:tblCellMar>
      </w:tblPr>
      <w:tblGrid>
        <w:gridCol w:w="1446"/>
        <w:gridCol w:w="1269"/>
        <w:gridCol w:w="1274"/>
        <w:gridCol w:w="259"/>
        <w:gridCol w:w="737"/>
        <w:gridCol w:w="144"/>
        <w:gridCol w:w="144"/>
        <w:gridCol w:w="144"/>
        <w:gridCol w:w="144"/>
        <w:gridCol w:w="259"/>
        <w:gridCol w:w="856"/>
        <w:gridCol w:w="204"/>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cash and cash equivalents and restricted cash</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loans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real estate fund investments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11,056 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and Debt Expense</w:t>
      </w:r>
    </w:p>
    <w:p>
      <w:pPr>
        <w:pStyle w:val="TextBody"/>
        <w:bidi w:val="0"/>
        <w:spacing w:lineRule="auto" w:line="288" w:before="0" w:after="0"/>
        <w:ind w:left="0" w:right="0" w:firstLine="360"/>
        <w:jc w:val="both"/>
        <w:rPr/>
      </w:pPr>
      <w:r>
        <w:rPr>
          <w:rFonts w:ascii="Times New Roman;serif" w:hAnsi="Times New Roman;serif"/>
          <w:b w:val="false"/>
          <w:color w:val="000000"/>
          <w:sz w:val="20"/>
        </w:rPr>
        <w:t>Interest and debt expense for the three months ended June 30, 2026 was $89,582,000, compared to $87,929,000 for the prior year’s quarter, an increase of $1,653,000. This was primarily due to</w:t>
      </w:r>
      <w:r>
        <w:rPr>
          <w:color w:val="EE2724"/>
        </w:rPr>
        <w:t xml:space="preserve"> </w:t>
      </w:r>
      <w:r>
        <w:rPr>
          <w:rFonts w:ascii="Times New Roman;serif" w:hAnsi="Times New Roman;serif"/>
          <w:b w:val="false"/>
          <w:color w:val="000000"/>
          <w:sz w:val="20"/>
        </w:rPr>
        <w:t>(i) $7,139,000 of higher interest expense due to the public offering of $500,000,000 5.75% senior unsecured notes, (ii) $4,483,000 of higher interest expense resulting from higher average interest rates, inclusive of the impact of our interest rate hedging instruments, and (iii) $490,000 of higher amortization of deferred financing costs, partially offset by (iv) $6,424,000 of lower amortization of interest rate cap premiums, (v) $2,939,000 of lower interest expense resulting from lower average debt balances, and</w:t>
      </w:r>
      <w:r>
        <w:rPr>
          <w:color w:val="EE2724"/>
        </w:rPr>
        <w:t xml:space="preserve"> </w:t>
      </w:r>
      <w:r>
        <w:rPr>
          <w:rFonts w:ascii="Times New Roman;serif" w:hAnsi="Times New Roman;serif"/>
          <w:b w:val="false"/>
          <w:color w:val="000000"/>
          <w:sz w:val="20"/>
        </w:rPr>
        <w:t xml:space="preserve">(vi) $1,536,000 of higher capitalized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 Expense</w:t>
      </w:r>
    </w:p>
    <w:p>
      <w:pPr>
        <w:pStyle w:val="TextBody"/>
        <w:bidi w:val="0"/>
        <w:spacing w:lineRule="auto" w:line="288" w:before="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June 30, 2026 was $3,571,000, compared to $4,123,000 for the prior year’s quarter, a decrease of $552,000. This was primarily due to lower income tax expense incurred by our taxable REIT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Income (Loss) Attributable to Noncontrolling Interests in Consolidated Subsidiaries</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 consolidated subsidiaries was $5,748,000 for the three months ended June 30, 2026, compared to a net loss of $10,981,000 for the prior year’s quarter, an increase in income of $16,729,000. This was primarily due to the allocation of the debt extinguishment gain recognized on 606 Broadway.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Results of Operations – Three Months Ended June 30, 2026 Compared to June 30, 2025 </w:t>
      </w: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Same Store Net Operating Income At Share</w:t>
      </w:r>
    </w:p>
    <w:p>
      <w:pPr>
        <w:pStyle w:val="TextBody"/>
        <w:bidi w:val="0"/>
        <w:spacing w:lineRule="auto" w:line="288" w:before="0" w:after="60"/>
        <w:ind w:left="0" w:right="0" w:firstLine="360"/>
        <w:jc w:val="both"/>
        <w:rPr/>
      </w:pPr>
      <w:r>
        <w:rPr>
          <w:rFonts w:ascii="Times New Roman;serif" w:hAnsi="Times New Roman;serif"/>
          <w:b w:val="false"/>
          <w:color w:val="000000"/>
          <w:sz w:val="20"/>
        </w:rPr>
        <w:t xml:space="preserve">Same store NOI at share represents NOI at share from operations which are in service in both the current and prior year reporting periods. Same store NOI at share - cash basis is same store NOI at share adjusted to exclude straight-line rental income and expense, amortization of acquired below and above market leases, accruals for ground rent resets yet to be determined, and other non-cash adjustments. We use these non-GAAP measures to (i) facilitate meaningful comparisons of the operational performance of our properties and segments, (ii) make decisions on whether to buy, sell or refinance properties, and (iii) compare the performance of our properties and segments to those of our peers. Same store NOI at share and same store NOI at share - cash basis should not be considered alternatives to net income or cash flow from operations and may not be comparable to similarly titled measures employed by other companies. We have recast certain prior period disclosures to reflect changes to the property composition of our reportable segments. See Note 2 - </w:t>
      </w:r>
      <w:r>
        <w:rPr>
          <w:rFonts w:ascii="Times New Roman;serif" w:hAnsi="Times New Roman;serif"/>
          <w:b w:val="false"/>
          <w:i/>
          <w:color w:val="000000"/>
          <w:sz w:val="20"/>
        </w:rPr>
        <w:t>Basis of Presentation</w:t>
      </w:r>
      <w:r>
        <w:rPr>
          <w:color w:val="000000"/>
        </w:rPr>
        <w:t xml:space="preserve"> </w:t>
      </w:r>
      <w:r>
        <w:rPr>
          <w:rFonts w:ascii="Times New Roman;serif" w:hAnsi="Times New Roman;serif"/>
          <w:b w:val="false"/>
          <w:color w:val="000000"/>
          <w:sz w:val="20"/>
        </w:rPr>
        <w:t>to our consolidated financial statements in this quarterly report on Form 10-Q for additional information.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reconciliations of NOI at share to same store NOI at share and NOI at share - cash basis to same store NOI at share - cash basis for our New York segment, THE MART, 555 California Street and other investments for the three months ended June 30, 2026 compared to June 30, 2025.</w:t>
      </w:r>
    </w:p>
    <w:tbl>
      <w:tblPr>
        <w:tblW w:w="10205" w:type="dxa"/>
        <w:jc w:val="left"/>
        <w:tblInd w:w="0" w:type="dxa"/>
        <w:tblLayout w:type="fixed"/>
        <w:tblCellMar>
          <w:top w:w="28" w:type="dxa"/>
          <w:left w:w="28" w:type="dxa"/>
          <w:bottom w:w="28" w:type="dxa"/>
          <w:right w:w="28" w:type="dxa"/>
        </w:tblCellMar>
      </w:tblPr>
      <w:tblGrid>
        <w:gridCol w:w="1147"/>
        <w:gridCol w:w="906"/>
        <w:gridCol w:w="909"/>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248"/>
        <w:gridCol w:w="821"/>
        <w:gridCol w:w="306"/>
        <w:gridCol w:w="109"/>
        <w:gridCol w:w="109"/>
        <w:gridCol w:w="109"/>
        <w:gridCol w:w="196"/>
        <w:gridCol w:w="646"/>
        <w:gridCol w:w="289"/>
      </w:tblGrid>
      <w:tr>
        <w:trPr/>
        <w:tc>
          <w:tcPr>
            <w:tcW w:w="114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MART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555 California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for the three months ended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NOI at share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non-same store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for the three months ended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for the three months ended June 30,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NOI at share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non-same store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for the three months ended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17,319 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same store NOI at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increase (decrease) in same store NOI at share</w:t>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3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7"/>
        <w:gridCol w:w="915"/>
        <w:gridCol w:w="918"/>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240"/>
        <w:gridCol w:w="792"/>
        <w:gridCol w:w="295"/>
        <w:gridCol w:w="109"/>
        <w:gridCol w:w="109"/>
        <w:gridCol w:w="109"/>
        <w:gridCol w:w="196"/>
        <w:gridCol w:w="646"/>
        <w:gridCol w:w="289"/>
      </w:tblGrid>
      <w:tr>
        <w:trPr/>
        <w:tc>
          <w:tcPr>
            <w:tcW w:w="11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MART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555 California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 for the three months ended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NOI at share - cash basis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non-same store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(10,391)</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 cash basis for the three months ended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 for the three months ended June 30,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NOI at share - cash basis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non-same store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 cash basis for the three months ended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181,812 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17,424 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same store NOI at share - cash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(8,462)</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increase (decrease) in same store NOI at share - cash basis</w:t>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2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NOI At Share by Segment for the Six Months Ended June 30, 2026 and 2025</w:t>
      </w:r>
      <w:r>
        <w:rPr>
          <w:color w:val="000000"/>
        </w:rPr>
        <w:t xml:space="preserve"> </w:t>
      </w:r>
    </w:p>
    <w:p>
      <w:pPr>
        <w:pStyle w:val="TextBody"/>
        <w:bidi w:val="0"/>
        <w:spacing w:lineRule="auto" w:line="288" w:before="120" w:after="120"/>
        <w:ind w:left="0" w:right="0" w:firstLine="360"/>
        <w:jc w:val="left"/>
        <w:rPr/>
      </w:pPr>
      <w:r>
        <w:rPr>
          <w:rFonts w:ascii="Times New Roman;serif" w:hAnsi="Times New Roman;serif"/>
          <w:b w:val="false"/>
          <w:color w:val="000000"/>
          <w:sz w:val="20"/>
        </w:rPr>
        <w:t>Below is a summary of NOI at share and NOI at share - cash basis</w:t>
      </w:r>
      <w:r>
        <w:rPr>
          <w:color w:val="000000"/>
        </w:rPr>
        <w:t xml:space="preserve"> </w:t>
      </w:r>
      <w:r>
        <w:rPr>
          <w:rFonts w:ascii="Times New Roman;serif" w:hAnsi="Times New Roman;serif"/>
          <w:b w:val="false"/>
          <w:color w:val="000000"/>
          <w:sz w:val="20"/>
        </w:rPr>
        <w:t>by segment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349"/>
        <w:gridCol w:w="2013"/>
        <w:gridCol w:w="2020"/>
        <w:gridCol w:w="196"/>
        <w:gridCol w:w="736"/>
        <w:gridCol w:w="109"/>
        <w:gridCol w:w="109"/>
        <w:gridCol w:w="109"/>
        <w:gridCol w:w="109"/>
        <w:gridCol w:w="196"/>
        <w:gridCol w:w="736"/>
        <w:gridCol w:w="109"/>
        <w:gridCol w:w="109"/>
        <w:gridCol w:w="109"/>
        <w:gridCol w:w="109"/>
        <w:gridCol w:w="196"/>
        <w:gridCol w:w="736"/>
        <w:gridCol w:w="155"/>
      </w:tblGrid>
      <w:tr>
        <w:trPr/>
        <w:tc>
          <w:tcPr>
            <w:tcW w:w="234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 consolidated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straight-line rents, amortization of acquired below-market leases, net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80,754 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tbl>
      <w:tblPr>
        <w:tblW w:w="10205" w:type="dxa"/>
        <w:jc w:val="center"/>
        <w:tblInd w:w="0" w:type="dxa"/>
        <w:tblLayout w:type="fixed"/>
        <w:tblCellMar>
          <w:top w:w="28" w:type="dxa"/>
          <w:left w:w="28" w:type="dxa"/>
          <w:bottom w:w="28" w:type="dxa"/>
          <w:right w:w="28" w:type="dxa"/>
        </w:tblCellMar>
      </w:tblPr>
      <w:tblGrid>
        <w:gridCol w:w="2349"/>
        <w:gridCol w:w="2013"/>
        <w:gridCol w:w="2020"/>
        <w:gridCol w:w="196"/>
        <w:gridCol w:w="736"/>
        <w:gridCol w:w="109"/>
        <w:gridCol w:w="109"/>
        <w:gridCol w:w="109"/>
        <w:gridCol w:w="109"/>
        <w:gridCol w:w="196"/>
        <w:gridCol w:w="736"/>
        <w:gridCol w:w="109"/>
        <w:gridCol w:w="109"/>
        <w:gridCol w:w="109"/>
        <w:gridCol w:w="109"/>
        <w:gridCol w:w="196"/>
        <w:gridCol w:w="736"/>
        <w:gridCol w:w="155"/>
      </w:tblGrid>
      <w:tr>
        <w:trPr/>
        <w:tc>
          <w:tcPr>
            <w:tcW w:w="234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 consolidated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Non-cash adjustments for straight-line rents, amortization of acquired below-market leases, net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NOI At Share by Segment for the Six Months Ended June 30, 2026 and 2025</w:t>
      </w:r>
      <w:r>
        <w:rPr>
          <w:color w:val="000000"/>
        </w:rPr>
        <w:t xml:space="preserve"> </w:t>
      </w:r>
      <w:r>
        <w:rPr>
          <w:rFonts w:ascii="Times New Roman;serif" w:hAnsi="Times New Roman;serif"/>
          <w:b/>
          <w:color w:val="000000"/>
          <w:sz w:val="20"/>
        </w:rPr>
        <w:t>- continued</w:t>
      </w:r>
    </w:p>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elements of our New York and Other NOI at share for the six months ended June 30, 2026 and 2025 are summarized below.</w:t>
      </w:r>
    </w:p>
    <w:tbl>
      <w:tblPr>
        <w:tblW w:w="4839" w:type="dxa"/>
        <w:jc w:val="left"/>
        <w:tblInd w:w="0" w:type="dxa"/>
        <w:tblLayout w:type="fixed"/>
        <w:tblCellMar>
          <w:top w:w="28" w:type="dxa"/>
          <w:left w:w="28" w:type="dxa"/>
          <w:bottom w:w="28" w:type="dxa"/>
          <w:right w:w="28" w:type="dxa"/>
        </w:tblCellMar>
      </w:tblPr>
      <w:tblGrid>
        <w:gridCol w:w="777"/>
        <w:gridCol w:w="682"/>
        <w:gridCol w:w="685"/>
        <w:gridCol w:w="215"/>
        <w:gridCol w:w="810"/>
        <w:gridCol w:w="119"/>
        <w:gridCol w:w="119"/>
        <w:gridCol w:w="119"/>
        <w:gridCol w:w="119"/>
        <w:gridCol w:w="215"/>
        <w:gridCol w:w="810"/>
        <w:gridCol w:w="169"/>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w:t>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Office (includes base retail)</w:t>
            </w:r>
            <w:r>
              <w:rPr>
                <w:rFonts w:ascii="Times New Roman;serif" w:hAnsi="Times New Roman;serif"/>
                <w:b/>
                <w:color w:val="000000"/>
                <w:sz w:val="10"/>
              </w:rPr>
              <w:t>(1)</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358,367 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Street Retail</w:t>
            </w:r>
            <w:r>
              <w:rPr>
                <w:rFonts w:ascii="Times New Roman;serif" w:hAnsi="Times New Roman;serif"/>
                <w:b/>
                <w:color w:val="000000"/>
                <w:sz w:val="10"/>
              </w:rPr>
              <w:t>(1)</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Alexander's </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New York</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488,247 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MART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555 California Street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investments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87,940 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2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576,187 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570,963 </w:t>
            </w:r>
          </w:p>
        </w:tc>
        <w:tc>
          <w:tcPr>
            <w:tcW w:w="1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See notes below.</w:t>
      </w:r>
    </w:p>
    <w:p>
      <w:pPr>
        <w:pStyle w:val="TextBody"/>
        <w:bidi w:val="0"/>
        <w:spacing w:lineRule="auto" w:line="288" w:before="24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elements of our New York and Other NOI at share - cash basis for the six months ended June 30, 2026 and 2025 are summarized below.</w:t>
      </w:r>
    </w:p>
    <w:tbl>
      <w:tblPr>
        <w:tblW w:w="4960" w:type="dxa"/>
        <w:jc w:val="left"/>
        <w:tblInd w:w="0" w:type="dxa"/>
        <w:tblLayout w:type="fixed"/>
        <w:tblCellMar>
          <w:top w:w="28" w:type="dxa"/>
          <w:left w:w="28" w:type="dxa"/>
          <w:bottom w:w="28" w:type="dxa"/>
          <w:right w:w="28" w:type="dxa"/>
        </w:tblCellMar>
      </w:tblPr>
      <w:tblGrid>
        <w:gridCol w:w="821"/>
        <w:gridCol w:w="721"/>
        <w:gridCol w:w="723"/>
        <w:gridCol w:w="215"/>
        <w:gridCol w:w="810"/>
        <w:gridCol w:w="119"/>
        <w:gridCol w:w="119"/>
        <w:gridCol w:w="119"/>
        <w:gridCol w:w="119"/>
        <w:gridCol w:w="215"/>
        <w:gridCol w:w="810"/>
        <w:gridCol w:w="169"/>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w:t>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Office (includes base retail)</w:t>
            </w:r>
            <w:r>
              <w:rPr>
                <w:rFonts w:ascii="Times New Roman;serif" w:hAnsi="Times New Roman;serif"/>
                <w:b/>
                <w:color w:val="000000"/>
                <w:sz w:val="10"/>
              </w:rPr>
              <w:t>(1)(2)</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307,862 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Street Retail</w:t>
            </w:r>
            <w:r>
              <w:rPr>
                <w:rFonts w:ascii="Times New Roman;serif" w:hAnsi="Times New Roman;serif"/>
                <w:b/>
                <w:color w:val="000000"/>
                <w:sz w:val="10"/>
              </w:rPr>
              <w:t>(1)</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Alexander's </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New York</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MART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555 California Street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investments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80,754 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w:t>
            </w:r>
          </w:p>
        </w:tc>
        <w:tc>
          <w:tcPr>
            <w:tcW w:w="2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504,240 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501,090 </w:t>
            </w:r>
          </w:p>
        </w:tc>
        <w:tc>
          <w:tcPr>
            <w:tcW w:w="1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color w:val="000000"/>
          <w:sz w:val="12"/>
        </w:rPr>
      </w:pPr>
      <w:r>
        <w:rPr>
          <w:rFonts w:ascii="Times New Roman;serif" w:hAnsi="Times New Roman;serif"/>
          <w:b/>
          <w:color w:val="000000"/>
          <w:sz w:val="12"/>
        </w:rPr>
        <w:t>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During the first quarter of 2026, we reclassified retail assets located at the base of our office buildings from the retail subsegment to the office subsegment. The retail subsegment was renamed “Street Retail” and now comprises standalone retail properties and mixed-use assets with prominent retail components, including related signage, with a concentration on High Streets such as Fifth Avenue, Madison Avenue and Times Square. Prior period balances have been reclassified to conform to current period presentation. This change applies only to net operating income; all other operating metrics, including occupancy, leasing activity, and lease expirations continue to be presented based on space type.</w:t>
      </w:r>
    </w:p>
    <w:p>
      <w:pPr>
        <w:pStyle w:val="TextBody"/>
        <w:bidi w:val="0"/>
        <w:spacing w:lineRule="auto" w:line="288" w:before="40" w:after="283"/>
        <w:ind w:left="0" w:right="0" w:hanging="360"/>
        <w:jc w:val="left"/>
        <w:rPr/>
      </w:pPr>
      <w:r>
        <w:rPr>
          <w:rFonts w:ascii="Times New Roman;serif" w:hAnsi="Times New Roman;serif"/>
          <w:b/>
          <w:color w:val="000000"/>
          <w:sz w:val="16"/>
        </w:rPr>
        <w:t>(2)</w:t>
      </w:r>
      <w:r>
        <w:rPr>
          <w:rFonts w:ascii="Times New Roman;serif" w:hAnsi="Times New Roman;serif"/>
          <w:b w:val="false"/>
          <w:color w:val="000000"/>
          <w:sz w:val="16"/>
        </w:rPr>
        <w:t>2025 includes the impact of the payment of $22,361 for prior period PENN 1 ground rent owed based on the rent reset determination.</w:t>
      </w:r>
    </w:p>
    <w:p>
      <w:pPr>
        <w:pStyle w:val="TextBody"/>
        <w:bidi w:val="0"/>
        <w:spacing w:before="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Reconciliation of Net Income to NOI At Share and NOI at Share - Cash Basis for the Six Months Ended June 30, 2026 and 2025</w:t>
      </w:r>
      <w:r>
        <w:rPr>
          <w:color w:val="000000"/>
        </w:rPr>
        <w:t xml:space="preserve"> </w:t>
      </w:r>
    </w:p>
    <w:p>
      <w:pPr>
        <w:pStyle w:val="TextBody"/>
        <w:bidi w:val="0"/>
        <w:spacing w:before="0" w:after="120"/>
        <w:jc w:val="both"/>
        <w:rPr/>
      </w:pPr>
      <w:r>
        <w:rPr/>
      </w:r>
    </w:p>
    <w:p>
      <w:pPr>
        <w:pStyle w:val="TextBody"/>
        <w:bidi w:val="0"/>
        <w:spacing w:before="0" w:after="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net income to NOI at share and NOI at share - cash basis for the six months ended June 30, 2026 and 2025.</w:t>
      </w:r>
    </w:p>
    <w:tbl>
      <w:tblPr>
        <w:tblW w:w="10119" w:type="dxa"/>
        <w:jc w:val="center"/>
        <w:tblInd w:w="0" w:type="dxa"/>
        <w:tblLayout w:type="fixed"/>
        <w:tblCellMar>
          <w:top w:w="28" w:type="dxa"/>
          <w:left w:w="28" w:type="dxa"/>
          <w:bottom w:w="28" w:type="dxa"/>
          <w:right w:w="28" w:type="dxa"/>
        </w:tblCellMar>
      </w:tblPr>
      <w:tblGrid>
        <w:gridCol w:w="2692"/>
        <w:gridCol w:w="2363"/>
        <w:gridCol w:w="2369"/>
        <w:gridCol w:w="215"/>
        <w:gridCol w:w="810"/>
        <w:gridCol w:w="119"/>
        <w:gridCol w:w="119"/>
        <w:gridCol w:w="119"/>
        <w:gridCol w:w="119"/>
        <w:gridCol w:w="215"/>
        <w:gridCol w:w="810"/>
        <w:gridCol w:w="169"/>
      </w:tblGrid>
      <w:tr>
        <w:trPr/>
        <w:tc>
          <w:tcPr>
            <w:tcW w:w="2692"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913,051 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related costs and 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partially owned entities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investment income, net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debt extinguishment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sales-type lease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debt expense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disposition of wholly owned and partially owned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from partially owned entities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attributable to noncontrolling interests in consolidated subsidiaries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576,187 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570,963 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 for straight-line rents, amortization of acquired below-market leases, net, and other</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501,090 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rFonts w:ascii="Times New Roman;serif" w:hAnsi="Times New Roman;serif"/>
          <w:b/>
          <w:color w:val="000000"/>
          <w:sz w:val="20"/>
        </w:rPr>
      </w:pPr>
      <w:r>
        <w:rPr>
          <w:rFonts w:ascii="Times New Roman;serif" w:hAnsi="Times New Roman;serif"/>
          <w:b/>
          <w:color w:val="000000"/>
          <w:sz w:val="20"/>
        </w:rPr>
        <w:t>NOI At Share by Region</w:t>
      </w:r>
    </w:p>
    <w:tbl>
      <w:tblPr>
        <w:tblW w:w="5128" w:type="dxa"/>
        <w:jc w:val="left"/>
        <w:tblInd w:w="0" w:type="dxa"/>
        <w:tblLayout w:type="fixed"/>
        <w:tblCellMar>
          <w:top w:w="28" w:type="dxa"/>
          <w:left w:w="28" w:type="dxa"/>
          <w:bottom w:w="28" w:type="dxa"/>
          <w:right w:w="28" w:type="dxa"/>
        </w:tblCellMar>
      </w:tblPr>
      <w:tblGrid>
        <w:gridCol w:w="877"/>
        <w:gridCol w:w="773"/>
        <w:gridCol w:w="780"/>
        <w:gridCol w:w="228"/>
        <w:gridCol w:w="228"/>
        <w:gridCol w:w="504"/>
        <w:gridCol w:w="228"/>
        <w:gridCol w:w="228"/>
        <w:gridCol w:w="228"/>
        <w:gridCol w:w="228"/>
        <w:gridCol w:w="228"/>
        <w:gridCol w:w="598"/>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Region:</w:t>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City metropolitan area</w:t>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w:t>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both"/>
        <w:rPr/>
      </w:pPr>
      <w:r>
        <w:rPr/>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Results of Operations – Six Months Ended June 30, 2026 Compared to June 30, 2025</w:t>
      </w:r>
      <w:r>
        <w:rPr>
          <w:color w:val="000000"/>
        </w:rPr>
        <w:t xml:space="preserve"> </w:t>
      </w:r>
    </w:p>
    <w:p>
      <w:pPr>
        <w:pStyle w:val="TextBody"/>
        <w:bidi w:val="0"/>
        <w:spacing w:lineRule="auto" w:line="288" w:before="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revenues were $921,347,000 for the six months ended June 30, 2026, compared to $903,016,000 for the prior year’s six months, an increase of $18,331,000. Below are the details of the increase (decrease) by segment:</w:t>
      </w:r>
    </w:p>
    <w:tbl>
      <w:tblPr>
        <w:tblW w:w="6466" w:type="dxa"/>
        <w:jc w:val="left"/>
        <w:tblInd w:w="0" w:type="dxa"/>
        <w:tblLayout w:type="fixed"/>
        <w:tblCellMar>
          <w:top w:w="28" w:type="dxa"/>
          <w:left w:w="28" w:type="dxa"/>
          <w:bottom w:w="28" w:type="dxa"/>
          <w:right w:w="28" w:type="dxa"/>
        </w:tblCellMar>
      </w:tblPr>
      <w:tblGrid>
        <w:gridCol w:w="968"/>
        <w:gridCol w:w="850"/>
        <w:gridCol w:w="852"/>
        <w:gridCol w:w="196"/>
        <w:gridCol w:w="721"/>
        <w:gridCol w:w="109"/>
        <w:gridCol w:w="109"/>
        <w:gridCol w:w="109"/>
        <w:gridCol w:w="109"/>
        <w:gridCol w:w="196"/>
        <w:gridCol w:w="721"/>
        <w:gridCol w:w="109"/>
        <w:gridCol w:w="109"/>
        <w:gridCol w:w="109"/>
        <w:gridCol w:w="109"/>
        <w:gridCol w:w="196"/>
        <w:gridCol w:w="631"/>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due to:</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Rental revenues: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dispositions and 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and redevelopment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shows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operations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Fee and other income:</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BMS cleaning fees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and leasing fees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increase (decrease) in revenues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TextBody"/>
        <w:bidi w:val="0"/>
        <w:spacing w:lineRule="auto" w:line="288" w:before="6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Expenses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expenses were $845,380,000 for the six months ended June 30, 2026, compared to $757,190,000 for the prior year’s six months, an increase of $88,190,000. Below are the details of the increase (decrease) by segment:</w:t>
      </w:r>
    </w:p>
    <w:tbl>
      <w:tblPr>
        <w:tblW w:w="7410" w:type="dxa"/>
        <w:jc w:val="left"/>
        <w:tblInd w:w="0" w:type="dxa"/>
        <w:tblLayout w:type="fixed"/>
        <w:tblCellMar>
          <w:top w:w="28" w:type="dxa"/>
          <w:left w:w="28" w:type="dxa"/>
          <w:bottom w:w="28" w:type="dxa"/>
          <w:right w:w="28" w:type="dxa"/>
        </w:tblCellMar>
      </w:tblPr>
      <w:tblGrid>
        <w:gridCol w:w="1365"/>
        <w:gridCol w:w="1198"/>
        <w:gridCol w:w="1201"/>
        <w:gridCol w:w="196"/>
        <w:gridCol w:w="646"/>
        <w:gridCol w:w="109"/>
        <w:gridCol w:w="109"/>
        <w:gridCol w:w="109"/>
        <w:gridCol w:w="109"/>
        <w:gridCol w:w="196"/>
        <w:gridCol w:w="646"/>
        <w:gridCol w:w="109"/>
        <w:gridCol w:w="109"/>
        <w:gridCol w:w="109"/>
        <w:gridCol w:w="109"/>
        <w:gridCol w:w="196"/>
        <w:gridCol w:w="631"/>
        <w:gridCol w:w="109"/>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due to:</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dispositions and 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and redevelopment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Non-reimbursable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shows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BMS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Depreciation and amortization:</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dispositions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and redevelopment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 from deferred compensation plan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Transaction related costs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increase (decrease) in expenses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before="0" w:after="0"/>
        <w:jc w:val="left"/>
        <w:rPr/>
      </w:pPr>
      <w:r>
        <w:rPr/>
      </w:r>
    </w:p>
    <w:p>
      <w:pPr>
        <w:pStyle w:val="TextBody"/>
        <w:bidi w:val="0"/>
        <w:spacing w:before="60" w:after="6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Results of Operations – Six Months Ended June 30, 2026 Compared to June 30, 2025</w:t>
      </w:r>
      <w:r>
        <w:rPr>
          <w:color w:val="000000"/>
        </w:rPr>
        <w:t xml:space="preserve"> </w:t>
      </w:r>
      <w:r>
        <w:rPr>
          <w:rFonts w:ascii="Times New Roman;serif" w:hAnsi="Times New Roman;serif"/>
          <w:b/>
          <w:color w:val="000000"/>
          <w:sz w:val="20"/>
        </w:rPr>
        <w:t>- continued</w:t>
      </w:r>
    </w:p>
    <w:p>
      <w:pPr>
        <w:pStyle w:val="TextBody"/>
        <w:bidi w:val="0"/>
        <w:spacing w:lineRule="auto" w:line="288" w:before="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from Partially Owned Entities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the components of income from partially owned entities.</w:t>
      </w:r>
    </w:p>
    <w:tbl>
      <w:tblPr>
        <w:tblW w:w="10205" w:type="dxa"/>
        <w:jc w:val="left"/>
        <w:tblInd w:w="0" w:type="dxa"/>
        <w:tblLayout w:type="fixed"/>
        <w:tblCellMar>
          <w:top w:w="28" w:type="dxa"/>
          <w:left w:w="28" w:type="dxa"/>
          <w:bottom w:w="28" w:type="dxa"/>
          <w:right w:w="28" w:type="dxa"/>
        </w:tblCellMar>
      </w:tblPr>
      <w:tblGrid>
        <w:gridCol w:w="1484"/>
        <w:gridCol w:w="1298"/>
        <w:gridCol w:w="1303"/>
        <w:gridCol w:w="1034"/>
        <w:gridCol w:w="1034"/>
        <w:gridCol w:w="1037"/>
        <w:gridCol w:w="109"/>
        <w:gridCol w:w="109"/>
        <w:gridCol w:w="109"/>
        <w:gridCol w:w="216"/>
        <w:gridCol w:w="714"/>
        <w:gridCol w:w="120"/>
        <w:gridCol w:w="120"/>
        <w:gridCol w:w="120"/>
        <w:gridCol w:w="120"/>
        <w:gridCol w:w="216"/>
        <w:gridCol w:w="813"/>
        <w:gridCol w:w="249"/>
      </w:tblGrid>
      <w:tr>
        <w:trPr/>
        <w:tc>
          <w:tcPr>
            <w:tcW w:w="148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1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Ownership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Our share of net income (loss):</w:t>
            </w:r>
          </w:p>
        </w:tc>
        <w:tc>
          <w:tcPr>
            <w:tcW w:w="3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Fifth Avenue and Times Square JV:</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income</w:t>
            </w:r>
          </w:p>
        </w:tc>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9,486 </w:t>
            </w:r>
          </w:p>
        </w:tc>
        <w:tc>
          <w:tcPr>
            <w:tcW w:w="24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preferred equity, net of our share of the expense</w:t>
            </w:r>
          </w:p>
        </w:tc>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15,046 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sale</w:t>
            </w:r>
          </w:p>
        </w:tc>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76,162 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100,694 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Alexander's</w:t>
            </w:r>
            <w:r>
              <w:rPr>
                <w:rFonts w:ascii="Times New Roman;serif" w:hAnsi="Times New Roman;serif"/>
                <w:b/>
                <w:color w:val="000000"/>
                <w:sz w:val="10"/>
              </w:rPr>
              <w:t>(1)</w:t>
            </w:r>
          </w:p>
        </w:tc>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Partially owned office buildings</w:t>
            </w:r>
            <w:r>
              <w:rPr>
                <w:rFonts w:ascii="Times New Roman;serif" w:hAnsi="Times New Roman;serif"/>
                <w:b/>
                <w:color w:val="000000"/>
                <w:sz w:val="10"/>
              </w:rPr>
              <w:t>(2)</w:t>
            </w:r>
          </w:p>
        </w:tc>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investments</w:t>
            </w:r>
            <w:r>
              <w:rPr>
                <w:rFonts w:ascii="Times New Roman;serif" w:hAnsi="Times New Roman;serif"/>
                <w:b/>
                <w:color w:val="000000"/>
                <w:sz w:val="10"/>
              </w:rPr>
              <w:t>(3)</w:t>
            </w:r>
          </w:p>
        </w:tc>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12"/>
        </w:rPr>
      </w:pPr>
      <w:r>
        <w:rPr>
          <w:rFonts w:ascii="Times New Roman;serif" w:hAnsi="Times New Roman;serif"/>
          <w:b/>
          <w:color w:val="000000"/>
          <w:sz w:val="12"/>
        </w:rPr>
        <w:t>_____________________</w:t>
      </w:r>
    </w:p>
    <w:p>
      <w:pPr>
        <w:pStyle w:val="TextBody"/>
        <w:bidi w:val="0"/>
        <w:spacing w:lineRule="auto" w:line="288" w:before="60" w:after="283"/>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On May 28, 2026, Alexander’s completed the sale of its Rego Park I property for $235,500. As a result of the sale, we recognized our $44,329 share of the net gain and received a $2,355 sales commission paid by Alexander’s, of which $500 was paid to a third-party broker.</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Includes interests in 280 Park Avenue, Park Avenue Plaza, 7 West 34th Street, 61 Ninth Avenue, 85 Tenth Avenue and others.</w:t>
      </w:r>
    </w:p>
    <w:p>
      <w:pPr>
        <w:pStyle w:val="TextBody"/>
        <w:bidi w:val="0"/>
        <w:spacing w:lineRule="auto" w:line="288" w:before="0" w:after="18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Includes interests in Independence Plaza, Pier 94 JV, Rosslyn Plaza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and Other Investment Income, Net</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interest and other investment income, net.</w:t>
      </w:r>
    </w:p>
    <w:tbl>
      <w:tblPr>
        <w:tblW w:w="6685" w:type="dxa"/>
        <w:jc w:val="left"/>
        <w:tblInd w:w="0" w:type="dxa"/>
        <w:tblLayout w:type="fixed"/>
        <w:tblCellMar>
          <w:top w:w="28" w:type="dxa"/>
          <w:left w:w="28" w:type="dxa"/>
          <w:bottom w:w="28" w:type="dxa"/>
          <w:right w:w="28" w:type="dxa"/>
        </w:tblCellMar>
      </w:tblPr>
      <w:tblGrid>
        <w:gridCol w:w="1446"/>
        <w:gridCol w:w="1269"/>
        <w:gridCol w:w="1274"/>
        <w:gridCol w:w="232"/>
        <w:gridCol w:w="767"/>
        <w:gridCol w:w="129"/>
        <w:gridCol w:w="129"/>
        <w:gridCol w:w="129"/>
        <w:gridCol w:w="129"/>
        <w:gridCol w:w="232"/>
        <w:gridCol w:w="767"/>
        <w:gridCol w:w="182"/>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cash and cash equivalents and restricted cash</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loans receivable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real estate fund investments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and Debt Expense</w:t>
      </w:r>
    </w:p>
    <w:p>
      <w:pPr>
        <w:pStyle w:val="TextBody"/>
        <w:bidi w:val="0"/>
        <w:spacing w:lineRule="auto" w:line="268" w:before="0" w:after="0"/>
        <w:ind w:left="0" w:right="0" w:firstLine="360"/>
        <w:jc w:val="both"/>
        <w:rPr/>
      </w:pPr>
      <w:r>
        <w:rPr>
          <w:rFonts w:ascii="Times New Roman;serif" w:hAnsi="Times New Roman;serif"/>
          <w:b w:val="false"/>
          <w:color w:val="000000"/>
          <w:sz w:val="20"/>
        </w:rPr>
        <w:t>Interest and debt expense was $178,788,000 for the six months ended June 30, 2026, compared to $183,745,000 for the prior year’s six months, a decrease of $4,957,000. This was primarily due to (i) $14,088,000 of lower amortization of interest rate cap premiums,</w:t>
      </w:r>
      <w:r>
        <w:rPr>
          <w:color w:val="EE2724"/>
        </w:rPr>
        <w:t xml:space="preserve"> </w:t>
      </w:r>
      <w:r>
        <w:rPr>
          <w:rFonts w:ascii="Times New Roman;serif" w:hAnsi="Times New Roman;serif"/>
          <w:b w:val="false"/>
          <w:color w:val="000000"/>
          <w:sz w:val="20"/>
        </w:rPr>
        <w:t>(ii) $12,445,000 of lower interest expense resulting from lower average debt balances, and (iii) $786,000 of higher capitalized interest, partially offset by (iv) $13,399,000 of higher interest expense due to the public offering of $500,000,000 5.75% senior unsecured notes, (v) $7,765,000 of higher interest expense resulting from higher average interest rates, inclusive of the impact of our interest rate hedging instruments, and (vi) $922,000 of higher amortization of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Income Tax Expense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30, 2026 was $9,479,000, compared to $11,316,000 for the prior year’s six months, a decrease of $1,837,000. This was primarily due to lower income tax expense incurred by our taxable REIT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Loss Attributable to Noncontrolling Interests in Consolidated Subsidiaries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in consolidated subsidiaries was $6,942,000 for the six months ended June 30, 2026, compared to $21,414,000 for the prior year’s six months, a decrease of $14,472,000. This was primarily due to the allocation of the debt extinguishment gain recognized on 606 Broadway.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Results of Operations – Six Months Ended June 30, 2026 Compared to June 30, 2025</w:t>
      </w:r>
      <w:r>
        <w:rPr>
          <w:color w:val="000000"/>
        </w:rPr>
        <w:t xml:space="preserve"> </w:t>
      </w:r>
      <w:r>
        <w:rPr>
          <w:rFonts w:ascii="Times New Roman;serif" w:hAnsi="Times New Roman;serif"/>
          <w:b/>
          <w:color w:val="000000"/>
          <w:sz w:val="20"/>
        </w:rPr>
        <w:t>- continued</w:t>
      </w:r>
    </w:p>
    <w:p>
      <w:pPr>
        <w:pStyle w:val="TextBody"/>
        <w:bidi w:val="0"/>
        <w:spacing w:lineRule="auto" w:line="288" w:before="120" w:after="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Same Store Net Operating Income At Share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reconciliations of NOI at share to same store NOI at share and NOI at share - cash basis to same store NOI at share - cash basis for our New York segment, THE MART, 555 California Street and other investments for the six months ended June 30, 2026 compared to June 30, 2025.</w:t>
      </w:r>
    </w:p>
    <w:tbl>
      <w:tblPr>
        <w:tblW w:w="10205" w:type="dxa"/>
        <w:jc w:val="left"/>
        <w:tblInd w:w="0" w:type="dxa"/>
        <w:tblLayout w:type="fixed"/>
        <w:tblCellMar>
          <w:top w:w="28" w:type="dxa"/>
          <w:left w:w="28" w:type="dxa"/>
          <w:bottom w:w="28" w:type="dxa"/>
          <w:right w:w="28" w:type="dxa"/>
        </w:tblCellMar>
      </w:tblPr>
      <w:tblGrid>
        <w:gridCol w:w="1140"/>
        <w:gridCol w:w="904"/>
        <w:gridCol w:w="907"/>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250"/>
        <w:gridCol w:w="827"/>
        <w:gridCol w:w="308"/>
        <w:gridCol w:w="109"/>
        <w:gridCol w:w="109"/>
        <w:gridCol w:w="109"/>
        <w:gridCol w:w="196"/>
        <w:gridCol w:w="646"/>
        <w:gridCol w:w="290"/>
      </w:tblGrid>
      <w:tr>
        <w:trPr/>
        <w:tc>
          <w:tcPr>
            <w:tcW w:w="11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MART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555 California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for the six months ended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488,247 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28,501 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16,250 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NOI at share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non-same store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(16,250)</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for the six months ended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463,813 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28,501 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for the six months ended June 30,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10,396 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NOI at share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non-same store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(49,735)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(10,396)</w:t>
            </w:r>
          </w:p>
        </w:tc>
        <w:tc>
          <w:tcPr>
            <w:tcW w:w="2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for the six months ended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495,264 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34,707 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same store NOI at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(6,206)</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increase (decrease) in same store NOI at share</w:t>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3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40" w:after="40"/>
        <w:jc w:val="left"/>
        <w:rPr/>
      </w:pPr>
      <w:r>
        <w:rPr/>
      </w:r>
    </w:p>
    <w:tbl>
      <w:tblPr>
        <w:tblW w:w="10205" w:type="dxa"/>
        <w:jc w:val="left"/>
        <w:tblInd w:w="0" w:type="dxa"/>
        <w:tblLayout w:type="fixed"/>
        <w:tblCellMar>
          <w:top w:w="28" w:type="dxa"/>
          <w:left w:w="28" w:type="dxa"/>
          <w:bottom w:w="28" w:type="dxa"/>
          <w:right w:w="28" w:type="dxa"/>
        </w:tblCellMar>
      </w:tblPr>
      <w:tblGrid>
        <w:gridCol w:w="1170"/>
        <w:gridCol w:w="911"/>
        <w:gridCol w:w="914"/>
        <w:gridCol w:w="196"/>
        <w:gridCol w:w="736"/>
        <w:gridCol w:w="241"/>
        <w:gridCol w:w="109"/>
        <w:gridCol w:w="109"/>
        <w:gridCol w:w="109"/>
        <w:gridCol w:w="196"/>
        <w:gridCol w:w="736"/>
        <w:gridCol w:w="241"/>
        <w:gridCol w:w="109"/>
        <w:gridCol w:w="109"/>
        <w:gridCol w:w="109"/>
        <w:gridCol w:w="196"/>
        <w:gridCol w:w="646"/>
        <w:gridCol w:w="241"/>
        <w:gridCol w:w="109"/>
        <w:gridCol w:w="109"/>
        <w:gridCol w:w="109"/>
        <w:gridCol w:w="233"/>
        <w:gridCol w:w="824"/>
        <w:gridCol w:w="286"/>
        <w:gridCol w:w="109"/>
        <w:gridCol w:w="109"/>
        <w:gridCol w:w="109"/>
        <w:gridCol w:w="196"/>
        <w:gridCol w:w="646"/>
        <w:gridCol w:w="288"/>
      </w:tblGrid>
      <w:tr>
        <w:trPr/>
        <w:tc>
          <w:tcPr>
            <w:tcW w:w="1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MART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555 California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 for the six months ended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NOI at share - cash basis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non-same store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(16,435)</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 cash basis for the six months ended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 - cash basis for the six months ended June 30,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NOI at share - cash basis from:</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non-same store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(9,807)</w:t>
            </w:r>
          </w:p>
        </w:tc>
        <w:tc>
          <w:tcPr>
            <w:tcW w:w="2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NOI at share - cash basis for the six months ended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450,813 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35,561 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same store NOI at share - cash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increase (decrease) in same store NOI at share - cash basis</w:t>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2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requirements include property operating expenses, capital improvements, tenant improvements, debt service, leasing commissions, dividends to our shareholders, distributions to unitholders of the Operating Partnership, as well as acquisition and development and redevelopment costs. The sources of liquidity to fund these cash requirements include rental revenue, which is our primary source of cash flow and is dependent upon the occupancy and rental rates of our properties; proceeds from debt financings, including mortgage loans, senior unsecured borrowings, unsecured term loans and unsecured revolving credit facilities; proceeds from the issuance of common and preferred equity; and asset sales.</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$2.0 billion of liquidity comprised of $789.0 million of cash and cash equivalents and restricted cash and $1.2 billion available on our $2.1 billion revolving credit facilities. The ongoing challenges posed by fluctuations in interest rates and the effects of inflation could adversely impact our cash flow from continuing operations but we anticipate that cash flow from continuing operations over the next twelve months together with cash balances on hand will be adequate to fund our business operations, cash distributions to unitholders of the Operating Partnership, cash dividends to our shareholders, debt amortization and recurring capital expenditures. We anticipate that we will pay a common share dividend for 2026 in December, subject to approval by our Board of Trustees. Capital requirements for development and redevelopment expenditures and acquisitions may require funding from borrowings, equity offerings and/or asset sales.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from time to time repurchase or retire our outstanding debt securities or repurchase or redeem our equity securities. Such purchases, if any, will depend on prevailing market conditions, liquidity requirements and other factors. The amounts involved in connection with these transactions could be material to our consolidated financial statements.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2026, our Board of Trustees authorized an additional $300,000,000 repurchase of our outstanding common shares under the share repurchase plan. As of June 30, 2026, $286,590,000 remained available and authorized for repurchases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Summary of Cash Flows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was $788,920,000 as of June 30, 2026, a $188,626,000 decrease from the balance as of December 31, 2025.</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 activities are summarized as follows:</w:t>
      </w:r>
    </w:p>
    <w:tbl>
      <w:tblPr>
        <w:tblW w:w="9140" w:type="dxa"/>
        <w:jc w:val="center"/>
        <w:tblInd w:w="0" w:type="dxa"/>
        <w:tblLayout w:type="fixed"/>
        <w:tblCellMar>
          <w:top w:w="28" w:type="dxa"/>
          <w:left w:w="28" w:type="dxa"/>
          <w:bottom w:w="28" w:type="dxa"/>
          <w:right w:w="28" w:type="dxa"/>
        </w:tblCellMar>
      </w:tblPr>
      <w:tblGrid>
        <w:gridCol w:w="1311"/>
        <w:gridCol w:w="1150"/>
        <w:gridCol w:w="1153"/>
        <w:gridCol w:w="204"/>
        <w:gridCol w:w="768"/>
        <w:gridCol w:w="113"/>
        <w:gridCol w:w="113"/>
        <w:gridCol w:w="113"/>
        <w:gridCol w:w="113"/>
        <w:gridCol w:w="204"/>
        <w:gridCol w:w="909"/>
        <w:gridCol w:w="113"/>
        <w:gridCol w:w="109"/>
        <w:gridCol w:w="109"/>
        <w:gridCol w:w="109"/>
        <w:gridCol w:w="430"/>
        <w:gridCol w:w="1781"/>
        <w:gridCol w:w="338"/>
      </w:tblGrid>
      <w:tr>
        <w:trPr/>
        <w:tc>
          <w:tcPr>
            <w:tcW w:w="131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 Increase in Cash Flow</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1,078,946 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(867,496)</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(1,023,802)</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(1,190,422)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1,288,993 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primarily consists of cash inflows from rental revenues and operating distributions from our unconsolidated partially owned entities less cash outflows for property expenses, general and administrative expenses and interest expense. For the six months ended June 30, 2026, net cash provided by operating activities of $211,450,000 was comprised of $234,471,000 of cash from operations, including distributions of income from partially owned entities of $52,871,000, and a net decrease of $23,021,000 in cash due to the timing of cash receipts and payments related to changes in operating assets and liabilities.</w:t>
      </w:r>
    </w:p>
    <w:p>
      <w:pPr>
        <w:pStyle w:val="TextBody"/>
        <w:bidi w:val="0"/>
        <w:spacing w:lineRule="auto" w:line="288" w:before="60" w:after="6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 is impacted by the timing and extent of our development, capital improvement, acquisition and disposition activities during the year.</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net cash (used in) provided by investing activities:</w:t>
      </w:r>
    </w:p>
    <w:tbl>
      <w:tblPr>
        <w:tblW w:w="10205" w:type="dxa"/>
        <w:jc w:val="center"/>
        <w:tblInd w:w="0" w:type="dxa"/>
        <w:tblLayout w:type="fixed"/>
        <w:tblCellMar>
          <w:top w:w="28" w:type="dxa"/>
          <w:left w:w="28" w:type="dxa"/>
          <w:bottom w:w="28" w:type="dxa"/>
          <w:right w:w="28" w:type="dxa"/>
        </w:tblCellMar>
      </w:tblPr>
      <w:tblGrid>
        <w:gridCol w:w="1888"/>
        <w:gridCol w:w="1591"/>
        <w:gridCol w:w="1597"/>
        <w:gridCol w:w="205"/>
        <w:gridCol w:w="836"/>
        <w:gridCol w:w="114"/>
        <w:gridCol w:w="114"/>
        <w:gridCol w:w="114"/>
        <w:gridCol w:w="114"/>
        <w:gridCol w:w="205"/>
        <w:gridCol w:w="772"/>
        <w:gridCol w:w="114"/>
        <w:gridCol w:w="109"/>
        <w:gridCol w:w="109"/>
        <w:gridCol w:w="109"/>
        <w:gridCol w:w="335"/>
        <w:gridCol w:w="1607"/>
        <w:gridCol w:w="272"/>
      </w:tblGrid>
      <w:tr>
        <w:trPr/>
        <w:tc>
          <w:tcPr>
            <w:tcW w:w="18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 Increase in Cash Flow</w:t>
            </w:r>
          </w:p>
        </w:tc>
      </w:tr>
      <w:tr>
        <w:trPr/>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22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partially owned entities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(281,964)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(264,997)</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real estate and other</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(149,069)</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real estate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32,180 </w:t>
            </w:r>
          </w:p>
        </w:tc>
        <w:tc>
          <w:tcPr>
            <w:tcW w:w="272"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repayment of loan receivable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costs and construction in progress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(82,064)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19,215 </w:t>
            </w:r>
          </w:p>
        </w:tc>
        <w:tc>
          <w:tcPr>
            <w:tcW w:w="272"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real estate and other</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27,442 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of capital from partially owned entities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72"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partial redemption of Fifth Avenue and Times Square JV preferred equity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(749,000)</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condominium units and ancillary amenities at 220 Central Park South</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(24,839)</w:t>
            </w:r>
          </w:p>
        </w:tc>
        <w:tc>
          <w:tcPr>
            <w:tcW w:w="272"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(498,647)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525,155 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(1,023,802)</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 - continued</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Summary of Cash Flows - continued</w:t>
      </w:r>
    </w:p>
    <w:p>
      <w:pPr>
        <w:pStyle w:val="TextBody"/>
        <w:bidi w:val="0"/>
        <w:spacing w:lineRule="auto" w:line="288" w:before="120" w:after="6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20"/>
        <w:ind w:left="0" w:right="0" w:firstLine="360"/>
        <w:jc w:val="both"/>
        <w:rPr/>
      </w:pPr>
      <w:r>
        <w:rPr>
          <w:rFonts w:ascii="Times New Roman;serif" w:hAnsi="Times New Roman;serif"/>
          <w:b w:val="false"/>
          <w:color w:val="000000"/>
          <w:sz w:val="20"/>
        </w:rPr>
        <w:t>Net cash provided by (used in)</w:t>
      </w:r>
      <w:r>
        <w:rPr>
          <w:color w:val="EE2724"/>
        </w:rPr>
        <w:t xml:space="preserve"> </w:t>
      </w:r>
      <w:r>
        <w:rPr>
          <w:rFonts w:ascii="Times New Roman;serif" w:hAnsi="Times New Roman;serif"/>
          <w:b w:val="false"/>
          <w:color w:val="000000"/>
          <w:sz w:val="20"/>
        </w:rPr>
        <w:t>financing activities is impacted by the timing and extent of issuances of debt and equity securities, distributions paid to common shareholders and unitholders of the Operating Partnership as well as principal and other repayments associated with our outstanding debt.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net cash provided by (used in) financing activities:</w:t>
      </w:r>
    </w:p>
    <w:tbl>
      <w:tblPr>
        <w:tblW w:w="10205" w:type="dxa"/>
        <w:jc w:val="center"/>
        <w:tblInd w:w="0" w:type="dxa"/>
        <w:tblLayout w:type="fixed"/>
        <w:tblCellMar>
          <w:top w:w="28" w:type="dxa"/>
          <w:left w:w="28" w:type="dxa"/>
          <w:bottom w:w="28" w:type="dxa"/>
          <w:right w:w="28" w:type="dxa"/>
        </w:tblCellMar>
      </w:tblPr>
      <w:tblGrid>
        <w:gridCol w:w="1905"/>
        <w:gridCol w:w="1569"/>
        <w:gridCol w:w="1575"/>
        <w:gridCol w:w="196"/>
        <w:gridCol w:w="871"/>
        <w:gridCol w:w="109"/>
        <w:gridCol w:w="109"/>
        <w:gridCol w:w="109"/>
        <w:gridCol w:w="109"/>
        <w:gridCol w:w="196"/>
        <w:gridCol w:w="925"/>
        <w:gridCol w:w="109"/>
        <w:gridCol w:w="109"/>
        <w:gridCol w:w="109"/>
        <w:gridCol w:w="109"/>
        <w:gridCol w:w="336"/>
        <w:gridCol w:w="1494"/>
        <w:gridCol w:w="266"/>
      </w:tblGrid>
      <w:tr>
        <w:trPr/>
        <w:tc>
          <w:tcPr>
            <w:tcW w:w="190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 in Cash Flow</w:t>
            </w:r>
          </w:p>
        </w:tc>
      </w:tr>
      <w:tr>
        <w:trPr/>
        <w:tc>
          <w:tcPr>
            <w:tcW w:w="5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2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1,594,781 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(137,337)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shares/Class A units owned by Vornado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(133,396)</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preferred shares/Distributions to preferred unitholders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redeemable security holders and noncontrolling interests in consolidated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 in consolidated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(1,190,422)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1,288,993 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Development and Redevelopment Expenditures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Development and redevelopment expenditures consist of all hard and soft costs associated with the development and redevelopment of a property. We plan to fund these development and redevelopment expenditures from operating cash flow, existing liquidity, and/or borrowings. See the detailed discussion below for our current development and redevelopment projects.</w:t>
      </w:r>
    </w:p>
    <w:p>
      <w:pPr>
        <w:pStyle w:val="TextBody"/>
        <w:bidi w:val="0"/>
        <w:spacing w:lineRule="auto" w:line="288" w:before="120" w:after="60"/>
        <w:jc w:val="both"/>
        <w:rPr>
          <w:rFonts w:ascii="Times New Roman;serif" w:hAnsi="Times New Roman;serif"/>
          <w:b w:val="false"/>
          <w:i/>
          <w:color w:val="000000"/>
          <w:sz w:val="20"/>
        </w:rPr>
      </w:pPr>
      <w:r>
        <w:rPr>
          <w:rFonts w:ascii="Times New Roman;serif" w:hAnsi="Times New Roman;serif"/>
          <w:b w:val="false"/>
          <w:i/>
          <w:color w:val="000000"/>
          <w:sz w:val="20"/>
        </w:rPr>
        <w:t>623 Fifth Avenue Office Condominium</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redeveloping the 623 Fifth Avenue office condominium, a 36-story, 383,000 square foot building situated above the flagship Saks Fifth Avenue department store, into a premier boutique office building. We purchased the property in September 2025 for $218,000,000. The development cost of this project, including the cost of acquiring the property, is estimated to be $450,000,000, of which $244,255,000 of cash has been expended as of June 30, 2026. We expect to complete the redevelopment for delivery to tenants in 2027.</w:t>
      </w:r>
    </w:p>
    <w:p>
      <w:pPr>
        <w:pStyle w:val="TextBody"/>
        <w:bidi w:val="0"/>
        <w:spacing w:lineRule="auto" w:line="288" w:before="60" w:after="60"/>
        <w:jc w:val="both"/>
        <w:rPr>
          <w:rFonts w:ascii="Times New Roman;serif" w:hAnsi="Times New Roman;serif"/>
          <w:b w:val="false"/>
          <w:i/>
          <w:color w:val="000000"/>
          <w:sz w:val="20"/>
        </w:rPr>
      </w:pPr>
      <w:r>
        <w:rPr>
          <w:rFonts w:ascii="Times New Roman;serif" w:hAnsi="Times New Roman;serif"/>
          <w:b w:val="false"/>
          <w:i/>
          <w:color w:val="000000"/>
          <w:sz w:val="20"/>
        </w:rPr>
        <w:t>350 Park Avenue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18, 2025, an affiliate of Kenneth C. Griffin, Citadel Enterprise Americas LLC’s (“Citadel”) Founder and CEO (“KG”), exercised an option to acquire at least a 60% interest in a joint venture (the “350 Park JV”) that would develop the 350 Park Avenue site (the “Investment Option”). Vornado and the Rudin Family, via a joint venture (the “Vornado/Rudin JV”), have the option to acquire an interest between 23% and 40% in the 350 Park JV (with Vornado having an effective ownership ranging from 21% to 36%). 350 Park JV would combine 350 Park Avenue with 39 East 51st Street (owned by the Vornado/Rudin JV) and 40 East 52nd Street (owned by the Rudin Family) to build an approximate 1,900,000 square foot new office tower (the “350 Park Site”) with Citadel as the anchor tenant. The Vornado/Rudin JV has until August 2026 to determine whether to enter into the 350 Park JV with KG or to exercise the option to put the 350 Park Site to KG for $1.2 billion ($900,000,000 to Vornado). The Investment Option closing is subject to the satisfaction of certain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evaluating other development and redevelopment opportunities at certain of our properties in Manhattan including, in particular, the PENN District.</w:t>
      </w:r>
    </w:p>
    <w:p>
      <w:pPr>
        <w:pStyle w:val="TextBody"/>
        <w:bidi w:val="0"/>
        <w:spacing w:lineRule="auto" w:line="288" w:before="1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above projects will be completed, completed on schedule or within budget.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 - continued</w:t>
      </w:r>
    </w:p>
    <w:p>
      <w:pPr>
        <w:pStyle w:val="TextBody"/>
        <w:bidi w:val="0"/>
        <w:spacing w:lineRule="auto" w:line="288" w:before="8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Insurance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properties, we maintain general liability insurance with limits of $300,000,000 per occurrence and per property, of which $275,000,000 includes communicable disease coverage and we maintain all risk property and rental value insurance with limits of $2.5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pStyle w:val="TextBody"/>
        <w:bidi w:val="0"/>
        <w:spacing w:lineRule="auto" w:line="288" w:before="60" w:after="283"/>
        <w:ind w:left="0" w:right="0" w:firstLine="360"/>
        <w:jc w:val="both"/>
        <w:rPr/>
      </w:pPr>
      <w:r>
        <w:rPr>
          <w:rFonts w:ascii="Times New Roman;serif" w:hAnsi="Times New Roman;serif"/>
          <w:b w:val="false"/>
          <w:color w:val="000000"/>
          <w:sz w:val="20"/>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third-party insurance companies and the Federal government with no exposure to PPIC. For NBCR acts, PPIC is responsible for a deductible of $2,360,428 and 20% of the balance of a covered loss and the Federal government is responsible for the remaining portion of a covered loss. We are ultimately responsible for any loss incurred by PPIC.</w:t>
      </w:r>
      <w:r>
        <w:rPr>
          <w:color w:val="000000"/>
        </w:rPr>
        <w:t xml:space="preserve">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condominiums in which we own an interest (including the Farley Condominiums) maintain insurance policies with different per occurrence and aggregate limits than our policies described above.</w:t>
      </w:r>
    </w:p>
    <w:p>
      <w:pPr>
        <w:pStyle w:val="TextBody"/>
        <w:bidi w:val="0"/>
        <w:spacing w:lineRule="auto" w:line="288" w:before="60" w:after="283"/>
        <w:ind w:left="0" w:right="0" w:firstLine="360"/>
        <w:jc w:val="both"/>
        <w:rPr/>
      </w:pPr>
      <w:r>
        <w:rPr>
          <w:rFonts w:ascii="Times New Roman;serif" w:hAnsi="Times New Roman;serif"/>
          <w:b w:val="false"/>
          <w:color w:val="000000"/>
          <w:sz w:val="20"/>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r>
        <w:rPr>
          <w:rFonts w:ascii="Times New Roman;serif" w:hAnsi="Times New Roman;serif"/>
          <w:b w:val="false"/>
          <w:i/>
          <w:color w:val="000000"/>
          <w:sz w:val="20"/>
        </w:rPr>
        <w: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Commitments and Contingencies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PENN 1 ground lease is subject to fair market value resets at each of the three 25-year renewal periods.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pStyle w:val="TextBody"/>
        <w:bidi w:val="0"/>
        <w:spacing w:lineRule="auto" w:line="288" w:before="4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June 30, 2026, the aggregate dollar amount of these guarantees is approximately $196,733,000, including partial payment guarantees on 435 Seventh Avenue and 150 West 34th Street. Other than these loans, our mortgage loans are non-recourse to us. </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785"/>
                <wp:effectExtent l="0" t="0" r="0" b="0"/>
                <wp:wrapNone/>
                <wp:docPr id="62" name="Frame6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 - continued</w:t>
      </w:r>
    </w:p>
    <w:p>
      <w:pPr>
        <w:pStyle w:val="TextBody"/>
        <w:bidi w:val="0"/>
        <w:spacing w:lineRule="auto" w:line="288" w:before="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Commitments and Contingencies - continued</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$23,720,000 of letters of credit were outstanding under our unsecured revolving credit facilities. Our unsecured revolving credit facilities contain financial covenants that require us to maintain minimum interest coverage and maximum debt to market capitalization ratios and provide for higher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pStyle w:val="TextBody"/>
        <w:bidi w:val="0"/>
        <w:spacing w:lineRule="auto" w:line="288" w:before="60" w:after="283"/>
        <w:ind w:left="0" w:right="0" w:firstLine="360"/>
        <w:jc w:val="both"/>
        <w:rPr/>
      </w:pPr>
      <w:r>
        <w:rPr>
          <w:rFonts w:ascii="Times New Roman;serif" w:hAnsi="Times New Roman;serif"/>
          <w:b w:val="false"/>
          <w:color w:val="000000"/>
          <w:sz w:val="20"/>
        </w:rPr>
        <w:t>Our 95% consolidated joint venture (5% is owned by Related Companies ("Related")) developed and owns the Farley Building. In connection with the development of the property, the joint venture admitted a historic tax credit investor partner (the "Tax Credit Investor").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June 30, 2026, the Tax Credit Investor has made</w:t>
      </w:r>
      <w:r>
        <w:rPr>
          <w:color w:val="EE2724"/>
        </w:rPr>
        <w:t xml:space="preserve"> </w:t>
      </w:r>
      <w:r>
        <w:rPr>
          <w:rFonts w:ascii="Times New Roman;serif" w:hAnsi="Times New Roman;serif"/>
          <w:b w:val="false"/>
          <w:color w:val="000000"/>
          <w:sz w:val="20"/>
        </w:rPr>
        <w:t>$209,661,000 in capital contributions. Vornado and Related have guaranteed certain of the joint venture’s obligations to the Tax Credit Investor.</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construction commitments aggregating approximately $22,858,000.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785"/>
                <wp:effectExtent l="0" t="0" r="0" b="0"/>
                <wp:wrapNone/>
                <wp:docPr id="63" name="Frame6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Funds From Operations (“FFO”)</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Vornado Realty Trust</w:t>
      </w:r>
    </w:p>
    <w:p>
      <w:pPr>
        <w:pStyle w:val="TextBody"/>
        <w:bidi w:val="0"/>
        <w:spacing w:lineRule="auto" w:line="288" w:before="0" w:after="60"/>
        <w:ind w:left="0" w:right="0" w:firstLine="360"/>
        <w:jc w:val="both"/>
        <w:rPr/>
      </w:pPr>
      <w:r>
        <w:rPr>
          <w:rFonts w:ascii="Times New Roman;serif" w:hAnsi="Times New Roman;serif"/>
          <w:b w:val="false"/>
          <w:color w:val="000000"/>
          <w:sz w:val="20"/>
        </w:rPr>
        <w:t>FFO is computed in accordance with the definition adopted by the Board of Governors of the National Association of Real Estate Investment Trusts (“NAREIT”). NAREIT defines FFO as GAAP net income or loss adjusted to exclude net gains from sales of certain real estate assets, impairment write-downs of certain real estate assets and investments in entities when the impairment is directly attributable to decreases in the value of depreciable real estate held by the entity,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they exclude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The calculations of both the numerator and denominator used in the computation of</w:t>
      </w:r>
      <w:r>
        <w:rPr>
          <w:color w:val="EE2724"/>
        </w:rPr>
        <w:t xml:space="preserve"> </w:t>
      </w:r>
      <w:r>
        <w:rPr>
          <w:rFonts w:ascii="Times New Roman;serif" w:hAnsi="Times New Roman;serif"/>
          <w:b w:val="false"/>
          <w:color w:val="000000"/>
          <w:sz w:val="20"/>
        </w:rPr>
        <w:t>income</w:t>
      </w:r>
      <w:r>
        <w:rPr>
          <w:color w:val="EE2724"/>
        </w:rPr>
        <w:t xml:space="preserve"> </w:t>
      </w:r>
      <w:r>
        <w:rPr>
          <w:rFonts w:ascii="Times New Roman;serif" w:hAnsi="Times New Roman;serif"/>
          <w:b w:val="false"/>
          <w:color w:val="000000"/>
          <w:sz w:val="20"/>
        </w:rPr>
        <w:t xml:space="preserve">per share are disclosed in Note 13 – </w:t>
      </w:r>
      <w:r>
        <w:rPr>
          <w:rFonts w:ascii="Times New Roman;serif" w:hAnsi="Times New Roman;serif"/>
          <w:b w:val="false"/>
          <w:i/>
          <w:color w:val="000000"/>
          <w:sz w:val="20"/>
        </w:rPr>
        <w:t xml:space="preserve">Income (Loss) Per Share and Per Class A Unit </w:t>
      </w:r>
      <w:r>
        <w:rPr>
          <w:rFonts w:ascii="Times New Roman;serif" w:hAnsi="Times New Roman;serif"/>
          <w:b w:val="false"/>
          <w:color w:val="000000"/>
          <w:sz w:val="20"/>
        </w:rPr>
        <w:t>in Part I, Item 1 of this Quarterly Report on Form 10-Q. Details of certain adjustments to FFO are discussed in the financial results summary of our “Overview”.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net income (loss) attributable to common shareholders to FFO attributable to common shareholders plus assumed conversions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882"/>
        <w:gridCol w:w="1475"/>
        <w:gridCol w:w="1486"/>
        <w:gridCol w:w="209"/>
        <w:gridCol w:w="788"/>
        <w:gridCol w:w="116"/>
        <w:gridCol w:w="116"/>
        <w:gridCol w:w="116"/>
        <w:gridCol w:w="116"/>
        <w:gridCol w:w="209"/>
        <w:gridCol w:w="788"/>
        <w:gridCol w:w="116"/>
        <w:gridCol w:w="109"/>
        <w:gridCol w:w="109"/>
        <w:gridCol w:w="109"/>
        <w:gridCol w:w="196"/>
        <w:gridCol w:w="736"/>
        <w:gridCol w:w="109"/>
        <w:gridCol w:w="109"/>
        <w:gridCol w:w="109"/>
        <w:gridCol w:w="109"/>
        <w:gridCol w:w="196"/>
        <w:gridCol w:w="736"/>
        <w:gridCol w:w="161"/>
      </w:tblGrid>
      <w:tr>
        <w:trPr/>
        <w:tc>
          <w:tcPr>
            <w:tcW w:w="18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except per share amounts)</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4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net income (loss) attributable to common shareholders to FFO attributable to common shareholders plus assumed conversions: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common shareholders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830,661 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diluted share</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FFO adjustments:</w:t>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real property</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sales-type lease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(803,248)</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Real estate impairment losses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Our share of partially owned entities: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real property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sale of real estate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FFO adjustments, net</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(677,984)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(626,210)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assumed conversion of dilutive convertible securities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share of above adjustments on a dilutive basis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FFO attributable to common shareholders plus assumed conversions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144,078 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256,028 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diluted share</w:t>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weighted average shares outstanding:</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dilutive securities: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payment awards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securities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 for FFO per diluted share</w:t>
            </w:r>
          </w:p>
        </w:tc>
        <w:tc>
          <w:tcPr>
            <w:tcW w:w="9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195,722 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201,042 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ind w:left="0" w:right="0" w:firstLine="405"/>
        <w:jc w:val="both"/>
        <w:rPr>
          <w:rFonts w:ascii="Times New Roman;serif" w:hAnsi="Times New Roman;serif"/>
          <w:b w:val="false"/>
          <w:color w:val="000000"/>
          <w:sz w:val="20"/>
        </w:rPr>
      </w:pPr>
      <w:bookmarkStart w:id="6" w:name="i093dcd7f88544ec2a8ef63e324ca3ed2_2585"/>
      <w:bookmarkEnd w:id="6"/>
      <w:r>
        <w:rPr>
          <w:rFonts w:ascii="Times New Roman;serif" w:hAnsi="Times New Roman;serif"/>
          <w:b w:val="false"/>
          <w:color w:val="000000"/>
          <w:sz w:val="20"/>
        </w:rPr>
        <w:t>We have exposure to fluctuations in market interest rates. Market interest rates are sensitive to many factors that are beyond our control. Our exposure to a change in interest rates on our consolidated and non-consolidated debt (all of which arises out of non-trading activity) is as follows:</w:t>
      </w:r>
    </w:p>
    <w:tbl>
      <w:tblPr>
        <w:tblW w:w="10205" w:type="dxa"/>
        <w:jc w:val="left"/>
        <w:tblInd w:w="0" w:type="dxa"/>
        <w:tblLayout w:type="fixed"/>
        <w:tblCellMar>
          <w:top w:w="28" w:type="dxa"/>
          <w:left w:w="28" w:type="dxa"/>
          <w:bottom w:w="28" w:type="dxa"/>
          <w:right w:w="28" w:type="dxa"/>
        </w:tblCellMar>
      </w:tblPr>
      <w:tblGrid>
        <w:gridCol w:w="1693"/>
        <w:gridCol w:w="1289"/>
        <w:gridCol w:w="1299"/>
        <w:gridCol w:w="196"/>
        <w:gridCol w:w="871"/>
        <w:gridCol w:w="109"/>
        <w:gridCol w:w="109"/>
        <w:gridCol w:w="109"/>
        <w:gridCol w:w="109"/>
        <w:gridCol w:w="571"/>
        <w:gridCol w:w="571"/>
        <w:gridCol w:w="573"/>
        <w:gridCol w:w="109"/>
        <w:gridCol w:w="109"/>
        <w:gridCol w:w="109"/>
        <w:gridCol w:w="390"/>
        <w:gridCol w:w="1286"/>
        <w:gridCol w:w="216"/>
        <w:gridCol w:w="109"/>
        <w:gridCol w:w="109"/>
        <w:gridCol w:w="109"/>
        <w:gridCol w:w="160"/>
      </w:tblGrid>
      <w:tr>
        <w:trPr/>
        <w:tc>
          <w:tcPr>
            <w:tcW w:w="169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except per share and per unit amounts)</w:t>
            </w:r>
          </w:p>
        </w:tc>
        <w:tc>
          <w:tcPr>
            <w:tcW w:w="5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Interest Rate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Effect of 1% Change in Base Rates</w:t>
            </w:r>
            <w:r>
              <w:rPr>
                <w:rFonts w:ascii="Times New Roman;serif" w:hAnsi="Times New Roman;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debt:</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Fixed rate</w:t>
            </w:r>
            <w:r>
              <w:rPr>
                <w:rFonts w:ascii="Times New Roman;serif" w:hAnsi="Times New Roman;serif"/>
                <w:b/>
                <w:color w:val="000000"/>
                <w:sz w:val="10"/>
              </w:rPr>
              <w:t>(3)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Variable rate</w:t>
            </w:r>
            <w:r>
              <w:rPr>
                <w:rFonts w:ascii="Times New Roman;serif" w:hAnsi="Times New Roman;serif"/>
                <w:b/>
                <w:color w:val="000000"/>
                <w:sz w:val="10"/>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7,487,543 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 rata share of debt of non-consolidated entities: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Fixed rate</w:t>
            </w:r>
            <w:r>
              <w:rPr>
                <w:rFonts w:ascii="Times New Roman;serif" w:hAnsi="Times New Roman;serif"/>
                <w:b/>
                <w:color w:val="000000"/>
                <w:sz w:val="10"/>
              </w:rPr>
              <w:t>(3)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Variable rate</w:t>
            </w:r>
            <w:r>
              <w:rPr>
                <w:rFonts w:ascii="Times New Roman;serif" w:hAnsi="Times New Roman;serif"/>
                <w:b/>
                <w:color w:val="000000"/>
                <w:sz w:val="10"/>
              </w:rPr>
              <w:t>(5)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share of consolidated subsidiaries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(4,127)</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450"/>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annual net income attributable to the Operating Partnership</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share of the Operating Partnership</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annual net income attributable to Vornado</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35"/>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annual net income attributable to the Operating Partnership per diluted Class A unit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35"/>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annual net income attributable to Vornado per diluted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2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w:t>
      </w:r>
    </w:p>
    <w:p>
      <w:pPr>
        <w:pStyle w:val="TextBody"/>
        <w:bidi w:val="0"/>
        <w:spacing w:lineRule="auto" w:line="288" w:before="0" w:after="0"/>
        <w:ind w:left="0" w:right="0" w:hanging="360"/>
        <w:jc w:val="both"/>
        <w:rPr/>
      </w:pPr>
      <w:r>
        <w:rPr>
          <w:rFonts w:ascii="Times New Roman;serif" w:hAnsi="Times New Roman;serif"/>
          <w:b/>
          <w:color w:val="000000"/>
          <w:sz w:val="16"/>
        </w:rPr>
        <w:t>(1)</w:t>
      </w:r>
      <w:r>
        <w:rPr>
          <w:rFonts w:ascii="Times New Roman;serif" w:hAnsi="Times New Roman;serif"/>
          <w:b w:val="false"/>
          <w:color w:val="000000"/>
          <w:sz w:val="16"/>
        </w:rPr>
        <w:t>Represents the interest rate in effect as of period end based on the appropriate reference rate as of the contractual reset date plus contractual spread, adjusted for hedging instruments, as applicable.</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The impact of the interest rate cap arrangements discussed on the following page is reflected in our calculation of the effect of 1% change in base rates.</w:t>
      </w:r>
    </w:p>
    <w:p>
      <w:pPr>
        <w:pStyle w:val="TextBody"/>
        <w:bidi w:val="0"/>
        <w:spacing w:lineRule="auto" w:line="288" w:before="0" w:after="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Includes variable rate debt with interest rates fixed by interest rate swap arrangements.</w:t>
      </w:r>
    </w:p>
    <w:p>
      <w:pPr>
        <w:pStyle w:val="TextBody"/>
        <w:bidi w:val="0"/>
        <w:spacing w:lineRule="auto" w:line="288" w:before="0" w:after="0"/>
        <w:ind w:left="0" w:right="0" w:hanging="360"/>
        <w:jc w:val="both"/>
        <w:rPr/>
      </w:pPr>
      <w:r>
        <w:rPr>
          <w:rFonts w:ascii="Times New Roman;serif" w:hAnsi="Times New Roman;serif"/>
          <w:b/>
          <w:color w:val="000000"/>
          <w:sz w:val="16"/>
        </w:rPr>
        <w:t>(4)</w:t>
      </w:r>
      <w:r>
        <w:rPr>
          <w:rFonts w:ascii="Times New Roman;serif" w:hAnsi="Times New Roman;serif"/>
          <w:b w:val="false"/>
          <w:color w:val="000000"/>
          <w:sz w:val="16"/>
        </w:rPr>
        <w:t xml:space="preserve">Includes variable rate debt subject to interest rate cap arrangements with a total notional amount of $1,285,000, of which $645,000 is attributable to noncontrolling interests. The interest rate cap arrangements have a weighted average SOFR strike rate of 4.22% and a weighted average remaining term of seven months. </w:t>
      </w:r>
    </w:p>
    <w:p>
      <w:pPr>
        <w:pStyle w:val="TextBody"/>
        <w:bidi w:val="0"/>
        <w:spacing w:lineRule="auto" w:line="288" w:before="0" w:after="0"/>
        <w:ind w:left="0" w:right="0" w:hanging="360"/>
        <w:jc w:val="both"/>
        <w:rPr/>
      </w:pPr>
      <w:r>
        <w:rPr>
          <w:rFonts w:ascii="Times New Roman;serif" w:hAnsi="Times New Roman;serif"/>
          <w:b/>
          <w:color w:val="000000"/>
          <w:sz w:val="16"/>
        </w:rPr>
        <w:t>(5)</w:t>
      </w:r>
      <w:r>
        <w:rPr>
          <w:rFonts w:ascii="Times New Roman;serif" w:hAnsi="Times New Roman;serif"/>
          <w:b w:val="false"/>
          <w:color w:val="000000"/>
          <w:sz w:val="16"/>
        </w:rPr>
        <w:t>Includes variable rate debt subject to interest rate cap arrangements with a total notional amount of $211,818 at our pro rata share. The interest rate cap arrangements have a weighted average SOFR strike rate of 4.22% and a weighted average remaining term of six months.</w:t>
      </w:r>
    </w:p>
    <w:p>
      <w:pPr>
        <w:pStyle w:val="TextBody"/>
        <w:bidi w:val="0"/>
        <w:spacing w:lineRule="auto" w:line="288" w:before="240" w:after="40"/>
        <w:jc w:val="both"/>
        <w:rPr>
          <w:rFonts w:ascii="Times New Roman;serif" w:hAnsi="Times New Roman;serif"/>
          <w:b w:val="false"/>
          <w:i/>
          <w:color w:val="000000"/>
          <w:sz w:val="20"/>
        </w:rPr>
      </w:pPr>
      <w:r>
        <w:rPr>
          <w:rFonts w:ascii="Times New Roman;serif" w:hAnsi="Times New Roman;serif"/>
          <w:b w:val="false"/>
          <w:i/>
          <w:color w:val="000000"/>
          <w:sz w:val="20"/>
        </w:rPr>
        <w:t>Fair Value of Debt</w:t>
      </w:r>
    </w:p>
    <w:p>
      <w:pPr>
        <w:pStyle w:val="TextBody"/>
        <w:bidi w:val="0"/>
        <w:spacing w:lineRule="auto" w:line="288" w:before="0" w:after="60"/>
        <w:ind w:left="0" w:right="0" w:firstLine="405"/>
        <w:jc w:val="both"/>
        <w:rPr/>
      </w:pPr>
      <w:r>
        <w:rPr>
          <w:rFonts w:ascii="Times New Roman;serif" w:hAnsi="Times New Roman;serif"/>
          <w:b w:val="false"/>
          <w:color w:val="000000"/>
          <w:sz w:val="20"/>
        </w:rPr>
        <w:t xml:space="preserve">The estimated fair value of our consolidated debt is calculated based on current market prices and discounted cash flows at the current rate at which similar loans would be made to borrowers with similar credit ratings for the remaining term of such debt.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 estimated fair value of our consolidated debt was $7,263,000,000.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84785"/>
                <wp:effectExtent l="0" t="0" r="0" b="0"/>
                <wp:wrapNone/>
                <wp:docPr id="65" name="Frame6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 continued</w:t>
      </w:r>
    </w:p>
    <w:p>
      <w:pPr>
        <w:pStyle w:val="TextBody"/>
        <w:bidi w:val="0"/>
        <w:spacing w:lineRule="auto" w:line="288" w:before="0" w:after="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Derivatives and Hedging </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 xml:space="preserve">We utilize various financial instruments to mitigate the impact of interest rate fluctuations on our cash flows and earnings, including hedging strategies, depending on our analysis of the interest rate environment and the costs and risks of such strategies. The following table summarizes our consolidated hedging instruments, all of which hedge variable rate debt, as of June 30, 2026. </w:t>
      </w:r>
    </w:p>
    <w:tbl>
      <w:tblPr>
        <w:tblW w:w="10205" w:type="dxa"/>
        <w:jc w:val="left"/>
        <w:tblInd w:w="0" w:type="dxa"/>
        <w:tblLayout w:type="fixed"/>
        <w:tblCellMar>
          <w:top w:w="28" w:type="dxa"/>
          <w:left w:w="28" w:type="dxa"/>
          <w:bottom w:w="28" w:type="dxa"/>
          <w:right w:w="28" w:type="dxa"/>
        </w:tblCellMar>
      </w:tblPr>
      <w:tblGrid>
        <w:gridCol w:w="794"/>
        <w:gridCol w:w="678"/>
        <w:gridCol w:w="681"/>
        <w:gridCol w:w="109"/>
        <w:gridCol w:w="109"/>
        <w:gridCol w:w="109"/>
        <w:gridCol w:w="196"/>
        <w:gridCol w:w="871"/>
        <w:gridCol w:w="109"/>
        <w:gridCol w:w="109"/>
        <w:gridCol w:w="109"/>
        <w:gridCol w:w="109"/>
        <w:gridCol w:w="415"/>
        <w:gridCol w:w="415"/>
        <w:gridCol w:w="416"/>
        <w:gridCol w:w="109"/>
        <w:gridCol w:w="109"/>
        <w:gridCol w:w="109"/>
        <w:gridCol w:w="229"/>
        <w:gridCol w:w="860"/>
        <w:gridCol w:w="127"/>
        <w:gridCol w:w="109"/>
        <w:gridCol w:w="109"/>
        <w:gridCol w:w="109"/>
        <w:gridCol w:w="403"/>
        <w:gridCol w:w="403"/>
        <w:gridCol w:w="405"/>
        <w:gridCol w:w="109"/>
        <w:gridCol w:w="109"/>
        <w:gridCol w:w="109"/>
        <w:gridCol w:w="456"/>
        <w:gridCol w:w="456"/>
        <w:gridCol w:w="656"/>
      </w:tblGrid>
      <w:tr>
        <w:trPr/>
        <w:tc>
          <w:tcPr>
            <w:tcW w:w="7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Swap/Cap Expiration Date</w:t>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Variable Rate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All-In Swapped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555 California Street mortgage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S+230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0"/>
              </w:rPr>
            </w:pPr>
            <w:r>
              <w:rPr>
                <w:rFonts w:ascii="Times New Roman;serif" w:hAnsi="Times New Roman;serif"/>
                <w:b/>
                <w:color w:val="000000"/>
                <w:sz w:val="10"/>
              </w:rPr>
              <w:t>(1)</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(2)</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05/28</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1290 Avenue of the Americas mortgage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S+162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(3)</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(4)</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09/27</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08/27</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In-place swap through 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In-place swap through 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07/27</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In-place swap through 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08/27</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Park Avenue mortgage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0"/>
              </w:rPr>
            </w:pPr>
            <w:r>
              <w:rPr>
                <w:rFonts w:ascii="Times New Roman;serif" w:hAnsi="Times New Roman;serif"/>
                <w:b/>
                <w:color w:val="000000"/>
                <w:sz w:val="10"/>
              </w:rPr>
              <w:t>(5)</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07/27</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 West 33rd Street mortgage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06/27</w:t>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 Strike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150 West 34th Street mortgage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02/27</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435 Seventh Avenue mortgage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04/27</w:t>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w:t>
      </w:r>
    </w:p>
    <w:p>
      <w:pPr>
        <w:pStyle w:val="TextBody"/>
        <w:bidi w:val="0"/>
        <w:spacing w:lineRule="auto" w:line="288" w:before="0" w:after="0"/>
        <w:ind w:left="0" w:right="0" w:hanging="360"/>
        <w:jc w:val="left"/>
        <w:rPr/>
      </w:pPr>
      <w:r>
        <w:rPr>
          <w:rFonts w:ascii="Times New Roman;serif" w:hAnsi="Times New Roman;serif"/>
          <w:b/>
          <w:color w:val="000000"/>
          <w:sz w:val="16"/>
        </w:rPr>
        <w:t>(1)</w:t>
      </w:r>
      <w:r>
        <w:rPr>
          <w:rFonts w:ascii="Times New Roman;serif" w:hAnsi="Times New Roman;serif"/>
          <w:b w:val="false"/>
          <w:color w:val="000000"/>
          <w:sz w:val="16"/>
        </w:rPr>
        <w:t>The variable rate spread will increase by 25 basis points in May 2027.</w:t>
      </w:r>
    </w:p>
    <w:p>
      <w:pPr>
        <w:pStyle w:val="TextBody"/>
        <w:bidi w:val="0"/>
        <w:spacing w:lineRule="auto" w:line="288" w:before="0" w:after="0"/>
        <w:ind w:left="0" w:right="0" w:hanging="360"/>
        <w:jc w:val="both"/>
        <w:rPr/>
      </w:pPr>
      <w:r>
        <w:rPr>
          <w:rFonts w:ascii="Times New Roman;serif" w:hAnsi="Times New Roman;serif"/>
          <w:b/>
          <w:color w:val="000000"/>
          <w:sz w:val="16"/>
        </w:rPr>
        <w:t>(2)</w:t>
      </w:r>
      <w:r>
        <w:rPr>
          <w:rFonts w:ascii="Times New Roman;serif" w:hAnsi="Times New Roman;serif"/>
          <w:b w:val="false"/>
          <w:color w:val="000000"/>
          <w:sz w:val="16"/>
        </w:rPr>
        <w:t>Represents our 70.0% share of the $1.2 billion mortgage loan.</w:t>
      </w:r>
    </w:p>
    <w:p>
      <w:pPr>
        <w:pStyle w:val="TextBody"/>
        <w:bidi w:val="0"/>
        <w:spacing w:lineRule="auto" w:line="288" w:before="0" w:after="0"/>
        <w:ind w:left="0" w:right="0" w:hanging="360"/>
        <w:jc w:val="both"/>
        <w:rPr/>
      </w:pPr>
      <w:r>
        <w:rPr>
          <w:rFonts w:ascii="Times New Roman;serif" w:hAnsi="Times New Roman;serif"/>
          <w:b/>
          <w:color w:val="000000"/>
          <w:sz w:val="16"/>
        </w:rPr>
        <w:t>(3)</w:t>
      </w:r>
      <w:r>
        <w:rPr>
          <w:rFonts w:ascii="Times New Roman;serif" w:hAnsi="Times New Roman;serif"/>
          <w:b w:val="false"/>
          <w:color w:val="000000"/>
          <w:sz w:val="16"/>
        </w:rPr>
        <w:t>The variable rate spread will increase by 25 basis points in November 2026.</w:t>
      </w:r>
    </w:p>
    <w:p>
      <w:pPr>
        <w:pStyle w:val="TextBody"/>
        <w:bidi w:val="0"/>
        <w:spacing w:lineRule="auto" w:line="288" w:before="0" w:after="0"/>
        <w:ind w:left="0" w:right="0" w:hanging="360"/>
        <w:jc w:val="both"/>
        <w:rPr/>
      </w:pPr>
      <w:r>
        <w:rPr>
          <w:rFonts w:ascii="Times New Roman;serif" w:hAnsi="Times New Roman;serif"/>
          <w:b/>
          <w:color w:val="000000"/>
          <w:sz w:val="16"/>
        </w:rPr>
        <w:t>(4)</w:t>
      </w:r>
      <w:r>
        <w:rPr>
          <w:rFonts w:ascii="Times New Roman;serif" w:hAnsi="Times New Roman;serif"/>
          <w:b w:val="false"/>
          <w:color w:val="000000"/>
          <w:sz w:val="16"/>
        </w:rPr>
        <w:t>The remaining $750,000 mortgage loan balance has a 4.00% SOFR strike rate cap in place.</w:t>
      </w:r>
    </w:p>
    <w:p>
      <w:pPr>
        <w:pStyle w:val="TextBody"/>
        <w:bidi w:val="0"/>
        <w:spacing w:lineRule="auto" w:line="288" w:before="0" w:after="0"/>
        <w:ind w:left="0" w:right="0" w:hanging="360"/>
        <w:jc w:val="both"/>
        <w:rPr/>
      </w:pPr>
      <w:r>
        <w:rPr>
          <w:rFonts w:ascii="Times New Roman;serif" w:hAnsi="Times New Roman;serif"/>
          <w:b/>
          <w:color w:val="000000"/>
          <w:sz w:val="16"/>
        </w:rPr>
        <w:t>(5)</w:t>
      </w:r>
      <w:r>
        <w:rPr>
          <w:rFonts w:ascii="Times New Roman;serif" w:hAnsi="Times New Roman;serif"/>
          <w:b w:val="false"/>
          <w:color w:val="000000"/>
          <w:sz w:val="16"/>
        </w:rPr>
        <w:t>The remaining $25,000 mortgage loan balance has a 5.20% SOFR strike rate cap in place.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hedging instruments of our unconsolidated subsidiaries (shown at our pro rata ownership interest) as of June 30, 2026.</w:t>
      </w:r>
    </w:p>
    <w:tbl>
      <w:tblPr>
        <w:tblW w:w="10205"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98"/>
        <w:gridCol w:w="746"/>
        <w:gridCol w:w="110"/>
        <w:gridCol w:w="109"/>
        <w:gridCol w:w="109"/>
        <w:gridCol w:w="109"/>
        <w:gridCol w:w="437"/>
        <w:gridCol w:w="437"/>
        <w:gridCol w:w="438"/>
        <w:gridCol w:w="109"/>
        <w:gridCol w:w="109"/>
        <w:gridCol w:w="109"/>
        <w:gridCol w:w="233"/>
        <w:gridCol w:w="876"/>
        <w:gridCol w:w="129"/>
        <w:gridCol w:w="109"/>
        <w:gridCol w:w="109"/>
        <w:gridCol w:w="109"/>
        <w:gridCol w:w="423"/>
        <w:gridCol w:w="423"/>
        <w:gridCol w:w="425"/>
        <w:gridCol w:w="109"/>
        <w:gridCol w:w="109"/>
        <w:gridCol w:w="109"/>
        <w:gridCol w:w="480"/>
        <w:gridCol w:w="480"/>
        <w:gridCol w:w="695"/>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Swap/Cap Expiration Date</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 and at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Variable Rate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All-In Swapped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280 Park Avenue (50.0%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09/28</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 Strike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Sunset Pier 94 Studios (49.9%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09/26</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61 Ninth Avenue (45.1%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06/27</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Rego Park II (32.4%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12/26</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84785"/>
                <wp:effectExtent l="0" t="0" r="0" b="0"/>
                <wp:wrapNone/>
                <wp:docPr id="66" name="Frame6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 (Vornado Realty Trust)</w:t>
      </w:r>
    </w:p>
    <w:p>
      <w:pPr>
        <w:pStyle w:val="TextBody"/>
        <w:bidi w:val="0"/>
        <w:spacing w:lineRule="auto" w:line="288" w:before="60" w:after="283"/>
        <w:ind w:left="0" w:right="0" w:firstLine="405"/>
        <w:jc w:val="both"/>
        <w:rPr/>
      </w:pPr>
      <w:r>
        <w:rPr>
          <w:rFonts w:ascii="Times New Roman;serif" w:hAnsi="Times New Roman;serif"/>
          <w:b w:val="false"/>
          <w:color w:val="000000"/>
          <w:sz w:val="20"/>
        </w:rPr>
        <w:t>Disclosure Controls and Procedures: Our management, with the participation of Vornado’s Chief Executive Officer and Chief Financial Officer, has evaluated the effectiveness of our disclosure controls and procedures (as such term is defined in Rule 13a</w:t>
        <w:noBreakHyphen/>
        <w:t xml:space="preserve">15(e) under the Securities Exchange Act of 1934, as amended) as of the end of the period covered by this report. Based on such evaluation, Vornado’s Chief Executive Officer and Chief Financial Officer have concluded that,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such disclosure controls and procedures were effective.</w:t>
      </w:r>
    </w:p>
    <w:p>
      <w:pPr>
        <w:pStyle w:val="TextBody"/>
        <w:bidi w:val="0"/>
        <w:spacing w:lineRule="auto" w:line="288" w:before="6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Internal Control Over Financial Reporting: There have not been any changes in our internal control over financial reporting (as defined in Rule 13a-15(f) under the Securities Exchange Act of 1934, as amended) during the fiscal quarter to which this report relates that have materially affected, or are reasonably likely to materially affect, our internal control over financial reporting.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 (Vornado Realty L.P.)</w:t>
      </w:r>
    </w:p>
    <w:p>
      <w:pPr>
        <w:pStyle w:val="TextBody"/>
        <w:bidi w:val="0"/>
        <w:spacing w:lineRule="auto" w:line="288" w:before="60" w:after="283"/>
        <w:ind w:left="0" w:right="0" w:firstLine="405"/>
        <w:jc w:val="both"/>
        <w:rPr/>
      </w:pPr>
      <w:r>
        <w:rPr>
          <w:rFonts w:ascii="Times New Roman;serif" w:hAnsi="Times New Roman;serif"/>
          <w:b w:val="false"/>
          <w:color w:val="000000"/>
          <w:sz w:val="20"/>
        </w:rPr>
        <w:t>Disclosure Controls and Procedures: Vornado Realty L.P.’s management, with the participation of Vornado’s Chief Executive Officer and Chief Financial Officer, has evaluated the effectiveness of our disclosure controls and procedures (as such term is defined in Rule 13a</w:t>
        <w:noBreakHyphen/>
        <w:t xml:space="preserve">15(e) under the Securities Exchange Act of 1934, as amended) as of the end of the period covered by this report. Based on such evaluation, Vornado’s Chief Executive Officer and Chief Financial Officer have concluded that,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such disclosure controls and procedures were effective.</w:t>
      </w:r>
    </w:p>
    <w:p>
      <w:pPr>
        <w:pStyle w:val="TextBody"/>
        <w:bidi w:val="0"/>
        <w:spacing w:lineRule="auto" w:line="288" w:before="6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There have not been any changes in our internal control over financial reporting (as defined in Rule 13a-15(f) under the Securities Exchange Act of 1934, as amended) during the fiscal quarter to which this report relates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84785"/>
                <wp:effectExtent l="0" t="0" r="0" b="0"/>
                <wp:wrapNone/>
                <wp:docPr id="67" name="Frame6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60"/>
        <w:jc w:val="both"/>
        <w:rPr>
          <w:rFonts w:ascii="Times New Roman;serif" w:hAnsi="Times New Roman;serif"/>
          <w:b/>
          <w:color w:val="000000"/>
          <w:sz w:val="20"/>
        </w:rPr>
      </w:pPr>
      <w:bookmarkStart w:id="7" w:name="idd23c983fc8e42eb9dadaf9f29b4c9d0_331"/>
      <w:bookmarkEnd w:id="7"/>
      <w:r>
        <w:rPr>
          <w:rFonts w:ascii="Times New Roman;serif" w:hAnsi="Times New Roman;serif"/>
          <w:b/>
          <w:color w:val="000000"/>
          <w:sz w:val="20"/>
        </w:rPr>
        <w:t>Item 1. Legal Proceedings</w:t>
      </w:r>
    </w:p>
    <w:p>
      <w:pPr>
        <w:pStyle w:val="TextBody"/>
        <w:bidi w:val="0"/>
        <w:spacing w:lineRule="auto" w:line="288" w:before="60" w:after="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60" w:after="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Vornado Realty Trust</w:t>
      </w:r>
    </w:p>
    <w:p>
      <w:pPr>
        <w:pStyle w:val="TextBody"/>
        <w:bidi w:val="0"/>
        <w:spacing w:lineRule="auto" w:line="288" w:before="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(a)Recent sales of unregistered securities:</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During the quarter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Vornado issued 409,865 of its common shares for the redemption of Class A units by certain limited partners of Vornado Realty L.P., and conversions of Series A preferred shares. Such shares were issued in reliance on an exemption from registration under Section 4(a)(2) of the Securities Act of 1933, as amended.</w:t>
      </w:r>
    </w:p>
    <w:p>
      <w:pPr>
        <w:pStyle w:val="TextBody"/>
        <w:bidi w:val="0"/>
        <w:spacing w:lineRule="auto" w:line="288" w:before="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(b)Use of Proceeds from Sales of Registered Securities: Not applicable.</w:t>
      </w:r>
    </w:p>
    <w:p>
      <w:pPr>
        <w:pStyle w:val="TextBody"/>
        <w:bidi w:val="0"/>
        <w:spacing w:lineRule="auto" w:line="288" w:before="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(c)Issuer Purchases of Equity Securities: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our Board of Trustees authorized an additional $300,000,000 repurchase of our outstanding common shares under the share repurchase plan. The following table summarizes share repurchases executed under the plan during the three months ended June 30, 2026. </w:t>
      </w:r>
    </w:p>
    <w:tbl>
      <w:tblPr>
        <w:tblW w:w="10205" w:type="dxa"/>
        <w:jc w:val="left"/>
        <w:tblInd w:w="0" w:type="dxa"/>
        <w:tblLayout w:type="fixed"/>
        <w:tblCellMar>
          <w:top w:w="28" w:type="dxa"/>
          <w:left w:w="28" w:type="dxa"/>
          <w:bottom w:w="28" w:type="dxa"/>
          <w:right w:w="28" w:type="dxa"/>
        </w:tblCellMar>
      </w:tblPr>
      <w:tblGrid>
        <w:gridCol w:w="370"/>
        <w:gridCol w:w="326"/>
        <w:gridCol w:w="329"/>
        <w:gridCol w:w="109"/>
        <w:gridCol w:w="109"/>
        <w:gridCol w:w="109"/>
        <w:gridCol w:w="632"/>
        <w:gridCol w:w="498"/>
        <w:gridCol w:w="499"/>
        <w:gridCol w:w="109"/>
        <w:gridCol w:w="109"/>
        <w:gridCol w:w="109"/>
        <w:gridCol w:w="286"/>
        <w:gridCol w:w="812"/>
        <w:gridCol w:w="159"/>
        <w:gridCol w:w="109"/>
        <w:gridCol w:w="109"/>
        <w:gridCol w:w="109"/>
        <w:gridCol w:w="900"/>
        <w:gridCol w:w="706"/>
        <w:gridCol w:w="708"/>
        <w:gridCol w:w="109"/>
        <w:gridCol w:w="109"/>
        <w:gridCol w:w="109"/>
        <w:gridCol w:w="373"/>
        <w:gridCol w:w="2001"/>
        <w:gridCol w:w="298"/>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tc>
      </w:tr>
      <w:tr>
        <w:trPr/>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696,871 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696,871 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321,191,273 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1,090,219 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1,090,219 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286,589,681 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286,589,681 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4"/>
        </w:rPr>
      </w:pPr>
      <w:r>
        <w:rPr>
          <w:rFonts w:ascii="Times New Roman;serif" w:hAnsi="Times New Roman;serif"/>
          <w:b w:val="false"/>
          <w:color w:val="000000"/>
          <w:sz w:val="4"/>
        </w:rPr>
        <w:t>_________________________________________________________________________________________________</w:t>
      </w:r>
    </w:p>
    <w:p>
      <w:pPr>
        <w:pStyle w:val="TextBody"/>
        <w:bidi w:val="0"/>
        <w:spacing w:lineRule="auto" w:line="288" w:before="0" w:after="0"/>
        <w:ind w:left="0" w:right="0" w:firstLine="720"/>
        <w:jc w:val="both"/>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Average price paid per share excludes costs associated with the repurchases.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Vornado Realty L.P.</w:t>
      </w:r>
    </w:p>
    <w:p>
      <w:pPr>
        <w:pStyle w:val="TextBody"/>
        <w:bidi w:val="0"/>
        <w:spacing w:lineRule="auto" w:line="288" w:before="60" w:after="283"/>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Recent sales of unregistered securities: </w:t>
      </w:r>
    </w:p>
    <w:p>
      <w:pPr>
        <w:pStyle w:val="TextBody"/>
        <w:bidi w:val="0"/>
        <w:spacing w:lineRule="auto" w:line="288" w:before="60" w:after="283"/>
        <w:ind w:left="0" w:right="0" w:firstLine="360"/>
        <w:jc w:val="both"/>
        <w:rPr/>
      </w:pPr>
      <w:r>
        <w:rPr>
          <w:rFonts w:ascii="Times New Roman;serif" w:hAnsi="Times New Roman;serif"/>
          <w:b w:val="false"/>
          <w:color w:val="000000"/>
          <w:sz w:val="20"/>
        </w:rPr>
        <w:t xml:space="preserve">During the quarter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Vornado Realty L.P. issued (i) 50,904 Class A units to satisfy conversions of Performance AO LTIP Units and (ii) 5,988 Class A units to satisfy conversions of LTIP units.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21, 2026, the Operating Partnership granted 64,512 LTIP units at a market price of $31.39 per unit to Vornado Trustees that are not executives of the Company as part of their annual Trustee fees. These units were issued outside of Vornado’s omnibus share plan.</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securities referred to above were issued in reliance on an exemption from registration under Section 4(a)(2) of the Securities Act of 1933, as amended. </w:t>
      </w:r>
    </w:p>
    <w:p>
      <w:pPr>
        <w:pStyle w:val="TextBody"/>
        <w:bidi w:val="0"/>
        <w:spacing w:lineRule="auto" w:line="288" w:before="60" w:after="283"/>
        <w:jc w:val="both"/>
        <w:rPr/>
      </w:pPr>
      <w:r>
        <w:rPr>
          <w:rFonts w:ascii="Times New Roman;serif" w:hAnsi="Times New Roman;serif"/>
          <w:b w:val="false"/>
          <w:color w:val="000000"/>
          <w:sz w:val="20"/>
        </w:rPr>
        <w:t>(b)</w:t>
      </w:r>
      <w:r>
        <w:rPr>
          <w:rFonts w:ascii="Times New Roman;serif" w:hAnsi="Times New Roman;serif"/>
          <w:b w:val="false"/>
          <w:color w:val="000000"/>
          <w:sz w:val="20"/>
        </w:rPr>
        <w:t>Use of Proceeds from Sales of Registered Securities: Not applicable.</w:t>
      </w:r>
    </w:p>
    <w:p>
      <w:pPr>
        <w:pStyle w:val="TextBody"/>
        <w:bidi w:val="0"/>
        <w:spacing w:lineRule="auto" w:line="288" w:before="60" w:after="120"/>
        <w:ind w:left="0" w:right="0" w:hanging="720"/>
        <w:jc w:val="both"/>
        <w:rPr/>
      </w:pPr>
      <w:r>
        <w:rPr>
          <w:rFonts w:ascii="Times New Roman;serif" w:hAnsi="Times New Roman;serif"/>
          <w:b w:val="false"/>
          <w:color w:val="000000"/>
          <w:sz w:val="20"/>
        </w:rPr>
        <w:t xml:space="preserve">(c)Issuer Purchases of Equity Securities: Vornado Realty L.P. repurchased Class A units from Vornado Realty Trust equivalent to the number and price of common shares repurchased by Vornado Realty Trust during the three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as disclosed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60" w:after="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60" w:after="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84785"/>
                <wp:effectExtent l="0" t="0" r="0" b="0"/>
                <wp:wrapNone/>
                <wp:docPr id="68" name="Frame6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60"/>
        <w:jc w:val="both"/>
        <w:rPr>
          <w:rFonts w:ascii="Times New Roman;serif" w:hAnsi="Times New Roman;serif"/>
          <w:b/>
          <w:color w:val="000000"/>
          <w:sz w:val="20"/>
        </w:rPr>
      </w:pPr>
      <w:bookmarkStart w:id="8" w:name="i76c355ab31fe48eb810372e6cd9d9a37_2702"/>
      <w:bookmarkEnd w:id="8"/>
      <w:r>
        <w:rPr>
          <w:rFonts w:ascii="Times New Roman;serif" w:hAnsi="Times New Roman;serif"/>
          <w:b/>
          <w:color w:val="000000"/>
          <w:sz w:val="20"/>
        </w:rPr>
        <w:t>Item 5. Other Information</w:t>
      </w:r>
    </w:p>
    <w:p>
      <w:pPr>
        <w:pStyle w:val="TextBody"/>
        <w:bidi w:val="0"/>
        <w:spacing w:lineRule="auto" w:line="288" w:before="60" w:after="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Rule 10b5-1 Trading Plans </w:t>
      </w:r>
    </w:p>
    <w:p>
      <w:pPr>
        <w:pStyle w:val="TextBody"/>
        <w:bidi w:val="0"/>
        <w:spacing w:lineRule="auto" w:line="288" w:before="60" w:after="60"/>
        <w:ind w:left="0" w:right="0" w:firstLine="360"/>
        <w:jc w:val="both"/>
        <w:rPr/>
      </w:pPr>
      <w:r>
        <w:rPr>
          <w:rFonts w:ascii="Times New Roman;serif" w:hAnsi="Times New Roman;serif"/>
          <w:b w:val="false"/>
          <w:color w:val="000000"/>
          <w:sz w:val="20"/>
        </w:rPr>
        <w:t xml:space="preserve">During the three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none of our directors or officers (as defined in Rule 16a-1(f) of the Securities Exchange Act) adopted, terminated, or modified a Rule 10b5-1 trading arrangement or non-Rule 10b5-1 trading arrangement (as such terms are defined in Item 408 of Regulation S-K).</w:t>
      </w:r>
    </w:p>
    <w:p>
      <w:pPr>
        <w:pStyle w:val="TextBody"/>
        <w:bidi w:val="0"/>
        <w:spacing w:lineRule="auto" w:line="288" w:before="60" w:after="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reclassified certain properties to our Other segment to align with changes in internal reporting used by the chief operating decision maker ("CODM") for assessing performance and allocating resources. The disclosures set forth below are provided solely to present such financial information and related disclosures on a retrospective basis for all periods presented in the Form 10-K for the year ended December 31, 2025. The impact of such recasting of periods is immaterial to the periods presented.</w:t>
      </w:r>
    </w:p>
    <w:tbl>
      <w:tblPr>
        <w:tblW w:w="9717" w:type="dxa"/>
        <w:jc w:val="left"/>
        <w:tblInd w:w="0" w:type="dxa"/>
        <w:tblLayout w:type="fixed"/>
        <w:tblCellMar>
          <w:top w:w="28" w:type="dxa"/>
          <w:left w:w="28" w:type="dxa"/>
          <w:bottom w:w="28" w:type="dxa"/>
          <w:right w:w="28" w:type="dxa"/>
        </w:tblCellMar>
      </w:tblPr>
      <w:tblGrid>
        <w:gridCol w:w="2040"/>
        <w:gridCol w:w="1790"/>
        <w:gridCol w:w="1795"/>
        <w:gridCol w:w="196"/>
        <w:gridCol w:w="871"/>
        <w:gridCol w:w="109"/>
        <w:gridCol w:w="109"/>
        <w:gridCol w:w="109"/>
        <w:gridCol w:w="109"/>
        <w:gridCol w:w="196"/>
        <w:gridCol w:w="871"/>
        <w:gridCol w:w="109"/>
        <w:gridCol w:w="109"/>
        <w:gridCol w:w="109"/>
        <w:gridCol w:w="109"/>
        <w:gridCol w:w="196"/>
        <w:gridCol w:w="736"/>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17" w:type="dxa"/>
        <w:jc w:val="left"/>
        <w:tblInd w:w="0" w:type="dxa"/>
        <w:tblLayout w:type="fixed"/>
        <w:tblCellMar>
          <w:top w:w="28" w:type="dxa"/>
          <w:left w:w="28" w:type="dxa"/>
          <w:bottom w:w="28" w:type="dxa"/>
          <w:right w:w="28" w:type="dxa"/>
        </w:tblCellMar>
      </w:tblPr>
      <w:tblGrid>
        <w:gridCol w:w="2040"/>
        <w:gridCol w:w="1790"/>
        <w:gridCol w:w="1795"/>
        <w:gridCol w:w="196"/>
        <w:gridCol w:w="871"/>
        <w:gridCol w:w="109"/>
        <w:gridCol w:w="109"/>
        <w:gridCol w:w="109"/>
        <w:gridCol w:w="109"/>
        <w:gridCol w:w="196"/>
        <w:gridCol w:w="871"/>
        <w:gridCol w:w="109"/>
        <w:gridCol w:w="109"/>
        <w:gridCol w:w="109"/>
        <w:gridCol w:w="109"/>
        <w:gridCol w:w="196"/>
        <w:gridCol w:w="736"/>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450"/>
              <w:jc w:val="center"/>
              <w:rPr>
                <w:rFonts w:ascii="Times New Roman;serif" w:hAnsi="Times New Roman;serif"/>
                <w:b/>
                <w:color w:val="000000"/>
                <w:sz w:val="16"/>
              </w:rPr>
            </w:pPr>
            <w:r>
              <w:rPr>
                <w:rFonts w:ascii="Times New Roman;serif" w:hAnsi="Times New Roman;serif"/>
                <w:b/>
                <w:color w:val="000000"/>
                <w:sz w:val="16"/>
              </w:rPr>
              <w:t>For the Year Ended December 31, 2024</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17" w:type="dxa"/>
        <w:jc w:val="left"/>
        <w:tblInd w:w="0" w:type="dxa"/>
        <w:tblLayout w:type="fixed"/>
        <w:tblCellMar>
          <w:top w:w="28" w:type="dxa"/>
          <w:left w:w="28" w:type="dxa"/>
          <w:bottom w:w="28" w:type="dxa"/>
          <w:right w:w="28" w:type="dxa"/>
        </w:tblCellMar>
      </w:tblPr>
      <w:tblGrid>
        <w:gridCol w:w="2040"/>
        <w:gridCol w:w="1790"/>
        <w:gridCol w:w="1795"/>
        <w:gridCol w:w="196"/>
        <w:gridCol w:w="871"/>
        <w:gridCol w:w="109"/>
        <w:gridCol w:w="109"/>
        <w:gridCol w:w="109"/>
        <w:gridCol w:w="109"/>
        <w:gridCol w:w="196"/>
        <w:gridCol w:w="871"/>
        <w:gridCol w:w="109"/>
        <w:gridCol w:w="109"/>
        <w:gridCol w:w="109"/>
        <w:gridCol w:w="109"/>
        <w:gridCol w:w="196"/>
        <w:gridCol w:w="736"/>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thousands)</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450"/>
              <w:jc w:val="center"/>
              <w:rPr>
                <w:rFonts w:ascii="Times New Roman;serif" w:hAnsi="Times New Roman;serif"/>
                <w:b/>
                <w:color w:val="000000"/>
                <w:sz w:val="16"/>
              </w:rPr>
            </w:pPr>
            <w:r>
              <w:rPr>
                <w:rFonts w:ascii="Times New Roman;serif" w:hAnsi="Times New Roman;serif"/>
                <w:b/>
                <w:color w:val="000000"/>
                <w:sz w:val="16"/>
              </w:rPr>
              <w:t>For the Year Ended December 31, 2023</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NOI attributable to noncontrolling interests in consolidated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 NOI from partially owned entities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NOI at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84785"/>
                <wp:effectExtent l="0" t="0" r="0" b="0"/>
                <wp:wrapNone/>
                <wp:docPr id="69" name="Frame6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documents listed below are filed herewith or incorporated herein by reference and numbered in accordance with Item 601 of Regulation S-K.</w:t>
      </w:r>
    </w:p>
    <w:tbl>
      <w:tblPr>
        <w:tblW w:w="10205" w:type="dxa"/>
        <w:jc w:val="left"/>
        <w:tblInd w:w="0" w:type="dxa"/>
        <w:tblLayout w:type="fixed"/>
        <w:tblCellMar>
          <w:top w:w="28" w:type="dxa"/>
          <w:left w:w="28" w:type="dxa"/>
          <w:bottom w:w="28" w:type="dxa"/>
          <w:right w:w="28" w:type="dxa"/>
        </w:tblCellMar>
      </w:tblPr>
      <w:tblGrid>
        <w:gridCol w:w="336"/>
        <w:gridCol w:w="295"/>
        <w:gridCol w:w="296"/>
        <w:gridCol w:w="109"/>
        <w:gridCol w:w="109"/>
        <w:gridCol w:w="109"/>
        <w:gridCol w:w="115"/>
        <w:gridCol w:w="115"/>
        <w:gridCol w:w="116"/>
        <w:gridCol w:w="2781"/>
        <w:gridCol w:w="2719"/>
        <w:gridCol w:w="2729"/>
        <w:gridCol w:w="109"/>
        <w:gridCol w:w="109"/>
        <w:gridCol w:w="158"/>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822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822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822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151-063026.htm">
              <w:r>
                <w:rPr>
                  <w:rStyle w:val="InternetLink"/>
                  <w:rFonts w:ascii="Times New Roman;serif" w:hAnsi="Times New Roman;serif"/>
                  <w:b w:val="false"/>
                  <w:color w:val="0000FF"/>
                  <w:sz w:val="20"/>
                </w:rPr>
                <w:t>15.1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Letter regarding Unaudited Interim Financial Information of Vornado Realty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52-063026.htm">
              <w:r>
                <w:rPr>
                  <w:rStyle w:val="InternetLink"/>
                  <w:rFonts w:ascii="Times New Roman;serif" w:hAnsi="Times New Roman;serif"/>
                  <w:b w:val="false"/>
                  <w:color w:val="0000FF"/>
                  <w:sz w:val="20"/>
                </w:rPr>
                <w:t>15.2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Letter regarding Unaudited Interim Financial Information of Vornado Realty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063026.htm">
              <w:r>
                <w:rPr>
                  <w:rStyle w:val="InternetLink"/>
                  <w:rFonts w:ascii="Times New Roman;serif" w:hAnsi="Times New Roman;serif"/>
                  <w:b w:val="false"/>
                  <w:color w:val="0E32E1"/>
                  <w:sz w:val="20"/>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13a-14(a) Certification of the Chief Executive Officer of Vornado Realty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063026.htm">
              <w:r>
                <w:rPr>
                  <w:rStyle w:val="InternetLink"/>
                  <w:rFonts w:ascii="Times New Roman;serif" w:hAnsi="Times New Roman;serif"/>
                  <w:b w:val="false"/>
                  <w:color w:val="0E32E1"/>
                  <w:sz w:val="20"/>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13a-14(a) Certification of the Chief Financial Officer of Vornado Realty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3-063026.htm">
              <w:r>
                <w:rPr>
                  <w:rStyle w:val="InternetLink"/>
                  <w:rFonts w:ascii="Times New Roman;serif" w:hAnsi="Times New Roman;serif"/>
                  <w:b w:val="false"/>
                  <w:color w:val="0E32E1"/>
                  <w:sz w:val="20"/>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13a-14(a) Certification of the Chief Executive Officer of Vornado Realty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4-063026.htm">
              <w:r>
                <w:rPr>
                  <w:rStyle w:val="InternetLink"/>
                  <w:rFonts w:ascii="Times New Roman;serif" w:hAnsi="Times New Roman;serif"/>
                  <w:b w:val="false"/>
                  <w:color w:val="0E32E1"/>
                  <w:sz w:val="20"/>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13a-14(a) Certification of the Chief Financial Officer of Vornado Realty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063026.htm">
              <w:r>
                <w:rPr>
                  <w:rStyle w:val="InternetLink"/>
                  <w:rFonts w:ascii="Times New Roman;serif" w:hAnsi="Times New Roman;serif"/>
                  <w:b w:val="false"/>
                  <w:color w:val="0000FF"/>
                  <w:sz w:val="20"/>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Chief Executive Officer of Vornado Realty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063026.htm">
              <w:r>
                <w:rPr>
                  <w:rStyle w:val="InternetLink"/>
                  <w:rFonts w:ascii="Times New Roman;serif" w:hAnsi="Times New Roman;serif"/>
                  <w:b w:val="false"/>
                  <w:color w:val="0E32E1"/>
                  <w:sz w:val="20"/>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Chief Financial Officer of Vornado Realty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3-063026.htm">
              <w:r>
                <w:rPr>
                  <w:rStyle w:val="InternetLink"/>
                  <w:rFonts w:ascii="Times New Roman;serif" w:hAnsi="Times New Roman;serif"/>
                  <w:b w:val="false"/>
                  <w:color w:val="0E32E1"/>
                  <w:sz w:val="20"/>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Chief Executive Officer of Vornado Realty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4-063026.htm">
              <w:r>
                <w:rPr>
                  <w:rStyle w:val="InternetLink"/>
                  <w:rFonts w:ascii="Times New Roman;serif" w:hAnsi="Times New Roman;serif"/>
                  <w:b w:val="false"/>
                  <w:color w:val="0000FF"/>
                  <w:sz w:val="20"/>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Chief Financial Officer of Vornado Realty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Vornado Realty Trust and Vornado Realty L.P. Quarterly Report on Form 10-Q for the quarter ended June 30, 2026 formatted in Inline Extensible Business Reporting Language (iXBRL) includes: (i) consolidated balance sheets, (ii) consolidated statements of income, (iii) consolidated statements of comprehensive income, (iv) consolidated statements of changes in equity, (v) consolidated statements of cash flows, and (vi) the notes to consolidated financial statements.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cover page from the Vornado Realty Trust and Vornado Realty L.P. Quarterly Report on Form 10-Q for the quarter ended June 30, 2026, formatted as iXBRL and contained in Exhibit 101.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822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822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822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tcPr>
          <w:p>
            <w:pPr>
              <w:pStyle w:val="TableContents"/>
              <w:bidi w:val="0"/>
              <w:spacing w:before="0" w:after="283"/>
              <w:jc w:val="left"/>
              <w:rPr>
                <w:sz w:val="4"/>
                <w:szCs w:val="4"/>
              </w:rPr>
            </w:pPr>
            <w:r>
              <w:rPr>
                <w:sz w:val="4"/>
                <w:szCs w:val="4"/>
              </w:rPr>
            </w:r>
          </w:p>
        </w:tc>
      </w:tr>
    </w:tbl>
    <w:p>
      <w:pPr>
        <w:pStyle w:val="TextBody"/>
        <w:bidi w:val="0"/>
        <w:spacing w:before="60" w:after="4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34" w:type="dxa"/>
        <w:jc w:val="left"/>
        <w:tblInd w:w="0" w:type="dxa"/>
        <w:tblLayout w:type="fixed"/>
        <w:tblCellMar>
          <w:top w:w="28" w:type="dxa"/>
          <w:left w:w="28" w:type="dxa"/>
          <w:bottom w:w="28" w:type="dxa"/>
          <w:right w:w="28" w:type="dxa"/>
        </w:tblCellMar>
      </w:tblPr>
      <w:tblGrid>
        <w:gridCol w:w="667"/>
        <w:gridCol w:w="587"/>
        <w:gridCol w:w="590"/>
        <w:gridCol w:w="135"/>
        <w:gridCol w:w="135"/>
        <w:gridCol w:w="135"/>
        <w:gridCol w:w="1398"/>
        <w:gridCol w:w="1398"/>
        <w:gridCol w:w="19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VORNADO REALTY TRUST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Deirdre Maddock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Deirdre Maddock, Chief Accounting Officer </w:t>
              <w:br/>
              <w:t>(duly authorized officer and principal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84785"/>
                <wp:effectExtent l="0" t="0" r="0" b="0"/>
                <wp:wrapNone/>
                <wp:docPr id="71" name="Frame7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468"/>
        <w:gridCol w:w="412"/>
        <w:gridCol w:w="414"/>
        <w:gridCol w:w="125"/>
        <w:gridCol w:w="125"/>
        <w:gridCol w:w="127"/>
        <w:gridCol w:w="2491"/>
        <w:gridCol w:w="2491"/>
        <w:gridCol w:w="3552"/>
      </w:tblGrid>
      <w:tr>
        <w:trPr/>
        <w:tc>
          <w:tcPr>
            <w:tcW w:w="4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VORNADO REALTY L.P.</w:t>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Deirdre Maddock</w:t>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Deirdre Maddock, Chief Accounting Officer of Vornado Realty Trust, sole General Partner of Vornado Realty L.P. (duly authorized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84785"/>
                <wp:effectExtent l="0" t="0" r="0" b="0"/>
                <wp:wrapNone/>
                <wp:docPr id="72" name="Frame7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60"/>
        <w:jc w:val="right"/>
        <w:rPr>
          <w:rFonts w:ascii="Times New Roman;serif" w:hAnsi="Times New Roman;serif"/>
          <w:b/>
          <w:color w:val="000000"/>
          <w:sz w:val="20"/>
        </w:rPr>
      </w:pPr>
      <w:r>
        <w:rPr>
          <w:rFonts w:ascii="Times New Roman;serif" w:hAnsi="Times New Roman;serif"/>
          <w:b/>
          <w:color w:val="000000"/>
          <w:sz w:val="20"/>
        </w:rPr>
        <w:t>EXHIBIT 15.1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August 3,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Trustees and Shareholders of Vornado Realty Trust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888 Seventh Avenue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aware that our report dated August 3, 2026, on our review of the interim financial information of Vornado Realty Trust and subsidiaries appearing in this Quarterly Report on Form 10-Q for the quarter ended June 30, 2026, is incorporated by reference in the following Registration Statements of Vornado Realty Trust: </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Amendment No.1 to Registration Statement No. 333-36080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Amendment No.1 to Registration Statement No. 333-50095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Amendment No.1 to Registration Statement No. 333-89667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Amendment No.1 to Registration Statement No. 333-102215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Amendment No.1 to Registration Statement No. 333-102217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333-105838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333-107024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333-114146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333-121929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Amendment No.1 to Registration Statement No. 333-120384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333-126963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333-139646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333-141162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333-150592 on Form S-3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333-172880 on Form S-8</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333-191865 on Form S-4</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333-232056 on Form S-8</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333-272385 on Form S-8</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in the joint Registration Statement No. 333-278428 on Form S-3 of Vornado Realty Trust and Vornado Realty L.P.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000000"/>
          <w:sz w:val="20"/>
        </w:rPr>
      </w:pPr>
      <w:r>
        <w:rPr>
          <w:rFonts w:ascii="Times New Roman;serif" w:hAnsi="Times New Roman;serif"/>
          <w:b/>
          <w:color w:val="000000"/>
          <w:sz w:val="20"/>
        </w:rPr>
        <w:t>EXHIBIT 15.2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3, 2026</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The Partners of Vornado Realty L.P. and the Board of Trustees of Vornado Realty Trust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888 Seventh Avenue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aware that our report dated August 3, 2026, on our review of the interim financial information of Vornado Realty L.P. and subsidiaries appearing in this Quarterly Report on Form 10-Q for the quarter ended June 30, 2026, is incorporated by reference in the joint Registration Statement No. 333-278428 on Form S-3 of Vornado Realty Trust and Vornado Realty 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New York, New York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360"/>
        <w:ind w:left="0" w:right="0" w:firstLine="72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24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 Steven Roth, certify that: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Vornado Realty Trust;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4464" w:type="dxa"/>
        <w:jc w:val="left"/>
        <w:tblInd w:w="0" w:type="dxa"/>
        <w:tblLayout w:type="fixed"/>
        <w:tblCellMar>
          <w:top w:w="28" w:type="dxa"/>
          <w:left w:w="28" w:type="dxa"/>
          <w:bottom w:w="28" w:type="dxa"/>
          <w:right w:w="28" w:type="dxa"/>
        </w:tblCellMar>
      </w:tblPr>
      <w:tblGrid>
        <w:gridCol w:w="124"/>
        <w:gridCol w:w="109"/>
        <w:gridCol w:w="109"/>
        <w:gridCol w:w="1248"/>
        <w:gridCol w:w="1248"/>
        <w:gridCol w:w="125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Steven Roth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Roth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36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360"/>
        <w:ind w:left="0" w:right="0" w:firstLine="72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24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 Michael J. Franco, certify that: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Vornado Realty Trust;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3503" w:type="dxa"/>
        <w:jc w:val="left"/>
        <w:tblInd w:w="0" w:type="dxa"/>
        <w:tblLayout w:type="fixed"/>
        <w:tblCellMar>
          <w:top w:w="28" w:type="dxa"/>
          <w:left w:w="28" w:type="dxa"/>
          <w:bottom w:w="28" w:type="dxa"/>
          <w:right w:w="28" w:type="dxa"/>
        </w:tblCellMar>
      </w:tblPr>
      <w:tblGrid>
        <w:gridCol w:w="124"/>
        <w:gridCol w:w="109"/>
        <w:gridCol w:w="109"/>
        <w:gridCol w:w="928"/>
        <w:gridCol w:w="928"/>
        <w:gridCol w:w="9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 Michael J. Franco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Michael J. Franco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36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24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 Steven Roth, certify that: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Vornado Realty L.P.;</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tbl>
      <w:tblPr>
        <w:tblW w:w="5798" w:type="dxa"/>
        <w:jc w:val="left"/>
        <w:tblInd w:w="0" w:type="dxa"/>
        <w:tblLayout w:type="fixed"/>
        <w:tblCellMar>
          <w:top w:w="28" w:type="dxa"/>
          <w:left w:w="28" w:type="dxa"/>
          <w:bottom w:w="28" w:type="dxa"/>
          <w:right w:w="28" w:type="dxa"/>
        </w:tblCellMar>
      </w:tblPr>
      <w:tblGrid>
        <w:gridCol w:w="124"/>
        <w:gridCol w:w="109"/>
        <w:gridCol w:w="109"/>
        <w:gridCol w:w="1692"/>
        <w:gridCol w:w="1692"/>
        <w:gridCol w:w="170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Steven Roth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Roth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br/>
              <w:t>of Vornado Realty Trust, sole General Partner of Vornado Realty 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0" w:after="36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24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 Michael J. Franco, certify that: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Vornado Realty L.P.;</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tbl>
      <w:tblPr>
        <w:tblW w:w="4868" w:type="dxa"/>
        <w:jc w:val="left"/>
        <w:tblInd w:w="0" w:type="dxa"/>
        <w:tblLayout w:type="fixed"/>
        <w:tblCellMar>
          <w:top w:w="28" w:type="dxa"/>
          <w:left w:w="28" w:type="dxa"/>
          <w:bottom w:w="28" w:type="dxa"/>
          <w:right w:w="28" w:type="dxa"/>
        </w:tblCellMar>
      </w:tblPr>
      <w:tblGrid>
        <w:gridCol w:w="124"/>
        <w:gridCol w:w="109"/>
        <w:gridCol w:w="109"/>
        <w:gridCol w:w="1382"/>
        <w:gridCol w:w="1382"/>
        <w:gridCol w:w="139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 Michael J. Franco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Michael J. Franco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President and Chief Financial Officer of Vornado Realty </w:t>
              <w:br/>
              <w:t>Trust, sole General Partner of Vornado Realty 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36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906 of the Sarbanes-Oxley Act of 2002</w:t>
      </w:r>
    </w:p>
    <w:p>
      <w:pPr>
        <w:pStyle w:val="TextBody"/>
        <w:bidi w:val="0"/>
        <w:spacing w:lineRule="auto" w:line="288" w:before="0" w:after="600"/>
        <w:jc w:val="center"/>
        <w:rPr>
          <w:rFonts w:ascii="Times New Roman;serif" w:hAnsi="Times New Roman;serif"/>
          <w:b/>
          <w:color w:val="000000"/>
          <w:sz w:val="18"/>
        </w:rPr>
      </w:pPr>
      <w:r>
        <w:rPr>
          <w:rFonts w:ascii="Times New Roman;serif" w:hAnsi="Times New Roman;serif"/>
          <w:b/>
          <w:color w:val="000000"/>
          <w:sz w:val="18"/>
        </w:rPr>
        <w:t>(Subsection (a) and (b) of Section 1350 of Chapter 63 of Title 18 of the United States Code)</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Pursuant to Section 906 of the Sarbanes-Oxley Act of 2002 (subsections (a) and (b) of Section 1350 of Chapter 63 of Title 18 of the United States Code), the undersigned officer of Vornado Realty Trust (the “Company”), hereby certifies, to such officer’s knowledge, that:</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Quarterly Report on Form 10-Q for the quarter ended June 30,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before="0" w:after="0"/>
        <w:ind w:left="0" w:right="0" w:firstLine="360"/>
        <w:jc w:val="both"/>
        <w:rPr/>
      </w:pPr>
      <w:r>
        <w:rPr/>
      </w:r>
    </w:p>
    <w:tbl>
      <w:tblPr>
        <w:tblW w:w="6246"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109"/>
        <w:gridCol w:w="109"/>
        <w:gridCol w:w="109"/>
        <w:gridCol w:w="189"/>
        <w:gridCol w:w="189"/>
        <w:gridCol w:w="191"/>
        <w:gridCol w:w="1108"/>
        <w:gridCol w:w="1108"/>
        <w:gridCol w:w="1578"/>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Steven Roth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Roth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360"/>
        <w:ind w:left="0" w:right="0" w:firstLine="7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36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906 of the Sarbanes-Oxley Act of 2002</w:t>
      </w:r>
    </w:p>
    <w:p>
      <w:pPr>
        <w:pStyle w:val="TextBody"/>
        <w:bidi w:val="0"/>
        <w:spacing w:lineRule="auto" w:line="288" w:before="0" w:after="600"/>
        <w:jc w:val="center"/>
        <w:rPr>
          <w:rFonts w:ascii="Times New Roman;serif" w:hAnsi="Times New Roman;serif"/>
          <w:b/>
          <w:color w:val="000000"/>
          <w:sz w:val="18"/>
        </w:rPr>
      </w:pPr>
      <w:r>
        <w:rPr>
          <w:rFonts w:ascii="Times New Roman;serif" w:hAnsi="Times New Roman;serif"/>
          <w:b/>
          <w:color w:val="000000"/>
          <w:sz w:val="18"/>
        </w:rPr>
        <w:t>(Subsection (a) and (b) of Section 1350 of Chapter 63 of Title 18 of the United States Code)</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Pursuant to Section 906 of the Sarbanes-Oxley Act of 2002 (subsections (a) and (b) of Section 1350 of Chapter 63 of Title 18 of the United States Code), the undersigned officer of Vornado Realty Trust (the “Company”), hereby certifies, to such officer’s knowledge, that:</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Quarterly Report on Form 10-Q for the quarter ended June 30,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before="0" w:after="0"/>
        <w:ind w:left="0" w:right="0" w:firstLine="360"/>
        <w:jc w:val="both"/>
        <w:rPr/>
      </w:pPr>
      <w:r>
        <w:rPr/>
      </w:r>
    </w:p>
    <w:tbl>
      <w:tblPr>
        <w:tblW w:w="5286"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109"/>
        <w:gridCol w:w="109"/>
        <w:gridCol w:w="109"/>
        <w:gridCol w:w="189"/>
        <w:gridCol w:w="189"/>
        <w:gridCol w:w="191"/>
        <w:gridCol w:w="829"/>
        <w:gridCol w:w="829"/>
        <w:gridCol w:w="117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 Michael J. Franco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Michael J. Franco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834"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President and Chief Financial Officer </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288" w:before="0" w:after="36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906 of the Sarbanes-Oxley Act of 2002</w:t>
      </w:r>
    </w:p>
    <w:p>
      <w:pPr>
        <w:pStyle w:val="TextBody"/>
        <w:bidi w:val="0"/>
        <w:spacing w:lineRule="auto" w:line="288" w:before="0" w:after="600"/>
        <w:jc w:val="center"/>
        <w:rPr>
          <w:rFonts w:ascii="Times New Roman;serif" w:hAnsi="Times New Roman;serif"/>
          <w:b/>
          <w:color w:val="000000"/>
          <w:sz w:val="18"/>
        </w:rPr>
      </w:pPr>
      <w:r>
        <w:rPr>
          <w:rFonts w:ascii="Times New Roman;serif" w:hAnsi="Times New Roman;serif"/>
          <w:b/>
          <w:color w:val="000000"/>
          <w:sz w:val="18"/>
        </w:rPr>
        <w:t>(Subsection (a) and (b) of Section 1350 of Chapter 63 of Title 18 of the United States Code)</w:t>
      </w:r>
    </w:p>
    <w:p>
      <w:pPr>
        <w:pStyle w:val="TextBody"/>
        <w:bidi w:val="0"/>
        <w:spacing w:lineRule="auto" w:line="288" w:before="0" w:after="24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Pursuant to Section 906 of the Sarbanes-Oxley Act of 2002 (subsections (a) and (b) of Section 1350 of Chapter 63 of Title 18 of the United States Code), the undersigned officer of Vornado Realty L.P. (the “Company”), hereby certifies, to such officer’s knowledge, that:</w:t>
      </w:r>
    </w:p>
    <w:p>
      <w:pPr>
        <w:pStyle w:val="TextBody"/>
        <w:bidi w:val="0"/>
        <w:spacing w:lineRule="auto" w:line="288" w:before="0" w:after="0"/>
        <w:ind w:left="0" w:right="0" w:firstLine="360"/>
        <w:jc w:val="both"/>
        <w:rPr/>
      </w:pPr>
      <w:r>
        <w:rPr>
          <w:rFonts w:ascii="Times New Roman;serif" w:hAnsi="Times New Roman;serif"/>
          <w:b w:val="false"/>
          <w:color w:val="000000"/>
          <w:sz w:val="18"/>
        </w:rPr>
        <w:t>The Quarterly Report on Form 10-Q for the quarter ended June 30, 2026</w:t>
      </w:r>
      <w:r>
        <w:rPr>
          <w:color w:val="000000"/>
        </w:rPr>
        <w:t xml:space="preserve"> </w:t>
      </w:r>
      <w:r>
        <w:rPr>
          <w:rFonts w:ascii="Times New Roman;serif" w:hAnsi="Times New Roman;serif"/>
          <w:b w:val="false"/>
          <w:color w:val="000000"/>
          <w:sz w:val="18"/>
        </w:rPr>
        <w:t>(the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tbl>
      <w:tblPr>
        <w:tblW w:w="6291"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109"/>
        <w:gridCol w:w="109"/>
        <w:gridCol w:w="109"/>
        <w:gridCol w:w="189"/>
        <w:gridCol w:w="189"/>
        <w:gridCol w:w="191"/>
        <w:gridCol w:w="1121"/>
        <w:gridCol w:w="1121"/>
        <w:gridCol w:w="1597"/>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Steven Roth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Roth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Chairman of the Board and Chief Executive Officer </w:t>
              <w:br/>
              <w:t xml:space="preserve">of Vornado Realty Trust, sole General Partner of </w:t>
              <w:br/>
              <w:t>Vornado Realty L.P.</w:t>
            </w:r>
          </w:p>
        </w:tc>
      </w:tr>
    </w:tbl>
    <w:p>
      <w:pPr>
        <w:pStyle w:val="TextBody"/>
        <w:bidi w:val="0"/>
        <w:spacing w:before="0" w:after="200"/>
        <w:ind w:left="0" w:right="0" w:firstLine="36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000000"/>
          <w:sz w:val="20"/>
        </w:rPr>
      </w:pPr>
      <w:r>
        <w:rPr>
          <w:rFonts w:ascii="Times New Roman;serif" w:hAnsi="Times New Roman;serif"/>
          <w:b/>
          <w:color w:val="000000"/>
          <w:sz w:val="20"/>
        </w:rPr>
        <w:t>EXHIBIT 32.4</w:t>
      </w:r>
    </w:p>
    <w:p>
      <w:pPr>
        <w:pStyle w:val="TextBody"/>
        <w:bidi w:val="0"/>
        <w:spacing w:lineRule="auto" w:line="288" w:before="0" w:after="36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906 of the Sarbanes-Oxley Act of 2002</w:t>
      </w:r>
    </w:p>
    <w:p>
      <w:pPr>
        <w:pStyle w:val="TextBody"/>
        <w:bidi w:val="0"/>
        <w:spacing w:lineRule="auto" w:line="288" w:before="0" w:after="600"/>
        <w:jc w:val="center"/>
        <w:rPr>
          <w:rFonts w:ascii="Times New Roman;serif" w:hAnsi="Times New Roman;serif"/>
          <w:b/>
          <w:color w:val="000000"/>
          <w:sz w:val="18"/>
        </w:rPr>
      </w:pPr>
      <w:r>
        <w:rPr>
          <w:rFonts w:ascii="Times New Roman;serif" w:hAnsi="Times New Roman;serif"/>
          <w:b/>
          <w:color w:val="000000"/>
          <w:sz w:val="18"/>
        </w:rPr>
        <w:t>(Subsection (a) and (b) of Section 1350 of Chapter 63 of Title 18 of the United States Code)</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Pursuant to Section 906 of the Sarbanes-Oxley Act of 2002 (subsections (a) and (b) of Section 1350 of Chapter 63 of Title 18 of the United States Code), the undersigned officer of Vornado Realty L.P. (the “Company”), hereby certifies, to such officer’s knowledge, that:</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18"/>
        </w:rPr>
        <w:t>The Quarterly Report on Form 10-Q for the quarter ended June 30, 2026</w:t>
      </w:r>
      <w:r>
        <w:rPr>
          <w:color w:val="000000"/>
        </w:rPr>
        <w:t xml:space="preserve"> </w:t>
      </w:r>
      <w:r>
        <w:rPr>
          <w:rFonts w:ascii="Times New Roman;serif" w:hAnsi="Times New Roman;serif"/>
          <w:b w:val="false"/>
          <w:color w:val="000000"/>
          <w:sz w:val="18"/>
        </w:rPr>
        <w:t>(the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tbl>
      <w:tblPr>
        <w:tblW w:w="6651"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109"/>
        <w:gridCol w:w="109"/>
        <w:gridCol w:w="109"/>
        <w:gridCol w:w="189"/>
        <w:gridCol w:w="189"/>
        <w:gridCol w:w="191"/>
        <w:gridCol w:w="1228"/>
        <w:gridCol w:w="1228"/>
        <w:gridCol w:w="1743"/>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 Michael J. Franco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Michael J. Franco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President and Chief Financial Officer of Vornado Realty </w:t>
              <w:br/>
              <w:t>Trust, sole General Partner of Vornado Realty L.P.</w:t>
            </w:r>
          </w:p>
        </w:tc>
      </w:tr>
    </w:tbl>
    <w:p>
      <w:pPr>
        <w:pStyle w:val="TextBody"/>
        <w:bidi w:val="0"/>
        <w:spacing w:before="0" w:after="200"/>
        <w:ind w:left="0" w:right="0" w:firstLine="36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34146</Words>
  <Characters>190280</Characters>
  <CharactersWithSpaces>221267</CharactersWithSpaces>
  <Paragraphs>7265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