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475615</wp:posOffset>
            </wp:positionV>
            <wp:extent cx="71348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17145"/>
                    </a:xfrm>
                    <a:prstGeom prst="rect">
                      <a:avLst/>
                    </a:prstGeom>
                    <a:noFill/>
                  </pic:spPr>
                </pic:pic>
              </a:graphicData>
            </a:graphic>
          </wp:anchor>
        </w:drawing>
        <w:t>UNITED STATES</w:t>
      </w:r>
    </w:p>
    <w:p>
      <w:pPr>
        <w:spacing w:after="0" w:line="3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7"/>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7"/>
              </w:rPr>
              <w:t>QUARTERLY REPORT PURSUANT TO SECTION 13 OR 15(d)</w:t>
            </w:r>
          </w:p>
        </w:tc>
      </w:tr>
      <w:tr>
        <w:trPr>
          <w:trHeight w:val="296"/>
        </w:trPr>
        <w:tc>
          <w:tcPr>
            <w:tcW w:w="3840" w:type="dxa"/>
            <w:vAlign w:val="bottom"/>
            <w:gridSpan w:val="3"/>
          </w:tcPr>
          <w:p>
            <w:pPr>
              <w:spacing w:after="0" w:line="181" w:lineRule="exact"/>
              <w:rPr>
                <w:sz w:val="20"/>
                <w:szCs w:val="20"/>
                <w:color w:val="auto"/>
              </w:rPr>
            </w:pPr>
            <w:r>
              <w:rPr>
                <w:rFonts w:ascii="MS PGothic" w:cs="MS PGothic" w:eastAsia="MS PGothic" w:hAnsi="MS PGothic"/>
                <w:sz w:val="18"/>
                <w:szCs w:val="18"/>
                <w:color w:val="auto"/>
              </w:rPr>
              <w:t>☑</w:t>
            </w:r>
          </w:p>
        </w:tc>
        <w:tc>
          <w:tcPr>
            <w:tcW w:w="7380" w:type="dxa"/>
            <w:vAlign w:val="bottom"/>
            <w:gridSpan w:val="6"/>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7"/>
              </w:rPr>
              <w:t>OF THE SECURITIES EXCHANGE ACT OF 1934</w:t>
            </w:r>
          </w:p>
        </w:tc>
      </w:tr>
      <w:tr>
        <w:trPr>
          <w:trHeight w:val="287"/>
        </w:trPr>
        <w:tc>
          <w:tcPr>
            <w:tcW w:w="3840" w:type="dxa"/>
            <w:vAlign w:val="bottom"/>
            <w:gridSpan w:val="3"/>
          </w:tcPr>
          <w:p>
            <w:pPr>
              <w:ind w:left="1780"/>
              <w:spacing w:after="0"/>
              <w:rPr>
                <w:sz w:val="20"/>
                <w:szCs w:val="20"/>
                <w:color w:val="auto"/>
              </w:rPr>
            </w:pPr>
            <w:r>
              <w:rPr>
                <w:rFonts w:ascii="Times New Roman" w:cs="Times New Roman" w:eastAsia="Times New Roman" w:hAnsi="Times New Roman"/>
                <w:sz w:val="16"/>
                <w:szCs w:val="16"/>
                <w:color w:val="auto"/>
              </w:rPr>
              <w:t>For the quarterly period ended:</w:t>
            </w:r>
          </w:p>
        </w:tc>
        <w:tc>
          <w:tcPr>
            <w:tcW w:w="520" w:type="dxa"/>
            <w:vAlign w:val="bottom"/>
          </w:tcPr>
          <w:p>
            <w:pPr>
              <w:spacing w:after="0"/>
              <w:rPr>
                <w:sz w:val="24"/>
                <w:szCs w:val="24"/>
                <w:color w:val="auto"/>
              </w:rPr>
            </w:pPr>
          </w:p>
        </w:tc>
        <w:tc>
          <w:tcPr>
            <w:tcW w:w="21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60" w:type="dxa"/>
            <w:vAlign w:val="bottom"/>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Or</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303"/>
        </w:trPr>
        <w:tc>
          <w:tcPr>
            <w:tcW w:w="3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7"/>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7"/>
              </w:rPr>
              <w:t>TRANSITION REPORT PURSUANT TO SECTION 13 OR 15(d)</w:t>
            </w:r>
          </w:p>
        </w:tc>
      </w:tr>
      <w:tr>
        <w:trPr>
          <w:trHeight w:val="296"/>
        </w:trPr>
        <w:tc>
          <w:tcPr>
            <w:tcW w:w="3840" w:type="dxa"/>
            <w:vAlign w:val="bottom"/>
            <w:gridSpan w:val="3"/>
          </w:tcPr>
          <w:p>
            <w:pPr>
              <w:spacing w:after="0" w:line="181" w:lineRule="exact"/>
              <w:rPr>
                <w:sz w:val="20"/>
                <w:szCs w:val="20"/>
                <w:color w:val="auto"/>
              </w:rPr>
            </w:pPr>
            <w:r>
              <w:rPr>
                <w:rFonts w:ascii="MS PGothic" w:cs="MS PGothic" w:eastAsia="MS PGothic" w:hAnsi="MS PGothic"/>
                <w:sz w:val="18"/>
                <w:szCs w:val="18"/>
                <w:color w:val="auto"/>
              </w:rPr>
              <w:t>☐</w:t>
            </w:r>
          </w:p>
        </w:tc>
        <w:tc>
          <w:tcPr>
            <w:tcW w:w="7380" w:type="dxa"/>
            <w:vAlign w:val="bottom"/>
            <w:gridSpan w:val="6"/>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7"/>
              </w:rPr>
              <w:t>OF THE SECURITIES EXCHANGE ACT OF 1934</w:t>
            </w:r>
          </w:p>
        </w:tc>
      </w:tr>
      <w:tr>
        <w:trPr>
          <w:trHeight w:val="258"/>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40" w:type="dxa"/>
            <w:vAlign w:val="bottom"/>
            <w:tcBorders>
              <w:bottom w:val="single" w:sz="8" w:color="auto"/>
            </w:tcBorders>
            <w:gridSpan w:val="2"/>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w:t>
            </w:r>
          </w:p>
        </w:tc>
        <w:tc>
          <w:tcPr>
            <w:tcW w:w="3700" w:type="dxa"/>
            <w:vAlign w:val="bottom"/>
            <w:tcBorders>
              <w:bottom w:val="single" w:sz="8" w:color="auto"/>
            </w:tcBorders>
          </w:tcPr>
          <w:p>
            <w:pPr>
              <w:spacing w:after="0"/>
              <w:rPr>
                <w:sz w:val="22"/>
                <w:szCs w:val="22"/>
                <w:color w:val="auto"/>
              </w:rPr>
            </w:pPr>
          </w:p>
        </w:tc>
      </w:tr>
      <w:tr>
        <w:trPr>
          <w:trHeight w:val="428"/>
        </w:trPr>
        <w:tc>
          <w:tcPr>
            <w:tcW w:w="38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Commission File Number:</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001-11954</w:t>
            </w:r>
          </w:p>
        </w:tc>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(Vornado Realty Trust)</w:t>
            </w:r>
          </w:p>
        </w:tc>
      </w:tr>
      <w:tr>
        <w:trPr>
          <w:trHeight w:val="209"/>
        </w:trPr>
        <w:tc>
          <w:tcPr>
            <w:tcW w:w="3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Commission File Number:</w:t>
            </w:r>
          </w:p>
        </w:tc>
        <w:tc>
          <w:tcPr>
            <w:tcW w:w="560" w:type="dxa"/>
            <w:vAlign w:val="bottom"/>
            <w:tcBorders>
              <w:top w:val="single" w:sz="8" w:color="auto"/>
              <w:bottom w:val="single" w:sz="8" w:color="auto"/>
            </w:tcBorders>
          </w:tcPr>
          <w:p>
            <w:pPr>
              <w:spacing w:after="0"/>
              <w:rPr>
                <w:sz w:val="18"/>
                <w:szCs w:val="18"/>
                <w:color w:val="auto"/>
              </w:rPr>
            </w:pPr>
          </w:p>
        </w:tc>
        <w:tc>
          <w:tcPr>
            <w:tcW w:w="2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001-34482</w:t>
            </w:r>
          </w:p>
        </w:tc>
        <w:tc>
          <w:tcPr>
            <w:tcW w:w="4700" w:type="dxa"/>
            <w:vAlign w:val="bottom"/>
            <w:tcBorders>
              <w:top w:val="single" w:sz="8" w:color="auto"/>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(Vornado Realty L.P.)</w:t>
            </w:r>
          </w:p>
        </w:tc>
      </w:tr>
    </w:tbl>
    <w:p>
      <w:pPr>
        <w:spacing w:after="0" w:line="304"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25"/>
          <w:szCs w:val="25"/>
          <w:b w:val="1"/>
          <w:bCs w:val="1"/>
          <w:color w:val="auto"/>
        </w:rPr>
        <w:t>Vornado Realty Trust</w:t>
      </w:r>
    </w:p>
    <w:p>
      <w:pPr>
        <w:spacing w:after="0" w:line="36"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25"/>
          <w:szCs w:val="25"/>
          <w:b w:val="1"/>
          <w:bCs w:val="1"/>
          <w:color w:val="auto"/>
        </w:rPr>
        <w:t>Vornado Realty L.P.</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40" w:type="dxa"/>
            <w:vAlign w:val="bottom"/>
            <w:tcBorders>
              <w:top w:val="single" w:sz="8" w:color="auto"/>
            </w:tcBorders>
            <w:gridSpan w:val="4"/>
          </w:tcPr>
          <w:p>
            <w:pPr>
              <w:jc w:val="center"/>
              <w:ind w:left="301"/>
              <w:spacing w:after="0"/>
              <w:rPr>
                <w:sz w:val="20"/>
                <w:szCs w:val="20"/>
                <w:color w:val="auto"/>
              </w:rPr>
            </w:pPr>
            <w:r>
              <w:rPr>
                <w:rFonts w:ascii="Times New Roman" w:cs="Times New Roman" w:eastAsia="Times New Roman" w:hAnsi="Times New Roman"/>
                <w:sz w:val="14"/>
                <w:szCs w:val="14"/>
                <w:color w:val="auto"/>
              </w:rPr>
              <w:t>(Exact name of registrants as specified in their charter)</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2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2"/>
          </w:tcPr>
          <w:p>
            <w:pPr>
              <w:jc w:val="center"/>
              <w:ind w:left="281"/>
              <w:spacing w:after="0"/>
              <w:rPr>
                <w:sz w:val="20"/>
                <w:szCs w:val="20"/>
                <w:color w:val="auto"/>
              </w:rPr>
            </w:pPr>
            <w:r>
              <w:rPr>
                <w:rFonts w:ascii="Times New Roman" w:cs="Times New Roman" w:eastAsia="Times New Roman" w:hAnsi="Times New Roman"/>
                <w:sz w:val="16"/>
                <w:szCs w:val="16"/>
                <w:b w:val="1"/>
                <w:bCs w:val="1"/>
                <w:color w:val="auto"/>
                <w:w w:val="97"/>
              </w:rPr>
              <w:t>Vornado Realty Trust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60" w:type="dxa"/>
            <w:vAlign w:val="bottom"/>
            <w:gridSpan w:val="2"/>
          </w:tcPr>
          <w:p>
            <w:pPr>
              <w:jc w:val="center"/>
              <w:ind w:left="1321"/>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80" w:type="dxa"/>
            <w:vAlign w:val="bottom"/>
            <w:gridSpan w:val="6"/>
          </w:tcPr>
          <w:p>
            <w:pPr>
              <w:jc w:val="center"/>
              <w:ind w:left="441"/>
              <w:spacing w:after="0"/>
              <w:rPr>
                <w:sz w:val="20"/>
                <w:szCs w:val="20"/>
                <w:color w:val="auto"/>
              </w:rPr>
            </w:pPr>
            <w:r>
              <w:rPr>
                <w:rFonts w:ascii="Times New Roman" w:cs="Times New Roman" w:eastAsia="Times New Roman" w:hAnsi="Times New Roman"/>
                <w:sz w:val="16"/>
                <w:szCs w:val="16"/>
                <w:b w:val="1"/>
                <w:bCs w:val="1"/>
                <w:color w:val="auto"/>
                <w:w w:val="98"/>
              </w:rPr>
              <w:t>22-1657560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80" w:type="dxa"/>
            <w:vAlign w:val="bottom"/>
            <w:tcBorders>
              <w:top w:val="single" w:sz="8" w:color="auto"/>
            </w:tcBorders>
            <w:gridSpan w:val="5"/>
          </w:tcPr>
          <w:p>
            <w:pPr>
              <w:jc w:val="center"/>
              <w:ind w:left="281"/>
              <w:spacing w:after="0"/>
              <w:rPr>
                <w:sz w:val="20"/>
                <w:szCs w:val="20"/>
                <w:color w:val="auto"/>
              </w:rPr>
            </w:pPr>
            <w:r>
              <w:rPr>
                <w:rFonts w:ascii="Times New Roman" w:cs="Times New Roman" w:eastAsia="Times New Roman" w:hAnsi="Times New Roman"/>
                <w:sz w:val="16"/>
                <w:szCs w:val="16"/>
                <w:color w:val="auto"/>
                <w:w w:val="99"/>
              </w:rPr>
              <w:t>(State or other jurisdiction of incorporation or organization)</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(I.R.S. Employer Identification Number)</w:t>
            </w:r>
          </w:p>
        </w:tc>
      </w:tr>
      <w:tr>
        <w:trPr>
          <w:trHeight w:val="307"/>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2"/>
          </w:tcPr>
          <w:p>
            <w:pPr>
              <w:jc w:val="center"/>
              <w:ind w:left="261"/>
              <w:spacing w:after="0"/>
              <w:rPr>
                <w:sz w:val="20"/>
                <w:szCs w:val="20"/>
                <w:color w:val="auto"/>
              </w:rPr>
            </w:pPr>
            <w:r>
              <w:rPr>
                <w:rFonts w:ascii="Times New Roman" w:cs="Times New Roman" w:eastAsia="Times New Roman" w:hAnsi="Times New Roman"/>
                <w:sz w:val="16"/>
                <w:szCs w:val="16"/>
                <w:b w:val="1"/>
                <w:bCs w:val="1"/>
                <w:color w:val="auto"/>
                <w:w w:val="97"/>
              </w:rPr>
              <w:t>Vornado Realty L.P.</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60" w:type="dxa"/>
            <w:vAlign w:val="bottom"/>
            <w:gridSpan w:val="2"/>
          </w:tcPr>
          <w:p>
            <w:pPr>
              <w:jc w:val="center"/>
              <w:ind w:left="132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80" w:type="dxa"/>
            <w:vAlign w:val="bottom"/>
            <w:gridSpan w:val="6"/>
          </w:tcPr>
          <w:p>
            <w:pPr>
              <w:jc w:val="center"/>
              <w:ind w:left="441"/>
              <w:spacing w:after="0"/>
              <w:rPr>
                <w:sz w:val="20"/>
                <w:szCs w:val="20"/>
                <w:color w:val="auto"/>
              </w:rPr>
            </w:pPr>
            <w:r>
              <w:rPr>
                <w:rFonts w:ascii="Times New Roman" w:cs="Times New Roman" w:eastAsia="Times New Roman" w:hAnsi="Times New Roman"/>
                <w:sz w:val="16"/>
                <w:szCs w:val="16"/>
                <w:b w:val="1"/>
                <w:bCs w:val="1"/>
                <w:color w:val="auto"/>
                <w:w w:val="98"/>
              </w:rPr>
              <w:t>13-3925979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80" w:type="dxa"/>
            <w:vAlign w:val="bottom"/>
            <w:tcBorders>
              <w:top w:val="single" w:sz="8" w:color="auto"/>
            </w:tcBorders>
            <w:gridSpan w:val="5"/>
          </w:tcPr>
          <w:p>
            <w:pPr>
              <w:jc w:val="center"/>
              <w:ind w:left="281"/>
              <w:spacing w:after="0"/>
              <w:rPr>
                <w:sz w:val="20"/>
                <w:szCs w:val="20"/>
                <w:color w:val="auto"/>
              </w:rPr>
            </w:pPr>
            <w:r>
              <w:rPr>
                <w:rFonts w:ascii="Times New Roman" w:cs="Times New Roman" w:eastAsia="Times New Roman" w:hAnsi="Times New Roman"/>
                <w:sz w:val="16"/>
                <w:szCs w:val="16"/>
                <w:color w:val="auto"/>
                <w:w w:val="99"/>
              </w:rPr>
              <w:t>(State or other jurisdiction of incorporation or organization)</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(I.R.S. Employer Identification Number)</w:t>
            </w:r>
          </w:p>
        </w:tc>
      </w:tr>
      <w:tr>
        <w:trPr>
          <w:trHeight w:val="33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888 Seventh Avenue, New York,</w:t>
            </w:r>
          </w:p>
        </w:tc>
        <w:tc>
          <w:tcPr>
            <w:tcW w:w="10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New York</w:t>
            </w:r>
          </w:p>
        </w:tc>
        <w:tc>
          <w:tcPr>
            <w:tcW w:w="46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4"/>
              </w:rPr>
              <w:t>10019</w:t>
            </w:r>
          </w:p>
        </w:tc>
        <w:tc>
          <w:tcPr>
            <w:tcW w:w="3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40" w:type="dxa"/>
            <w:vAlign w:val="bottom"/>
            <w:gridSpan w:val="4"/>
          </w:tcPr>
          <w:p>
            <w:pPr>
              <w:ind w:left="540"/>
              <w:spacing w:after="0"/>
              <w:rPr>
                <w:sz w:val="20"/>
                <w:szCs w:val="20"/>
                <w:color w:val="auto"/>
              </w:rPr>
            </w:pPr>
            <w:r>
              <w:rPr>
                <w:rFonts w:ascii="Times New Roman" w:cs="Times New Roman" w:eastAsia="Times New Roman" w:hAnsi="Times New Roman"/>
                <w:sz w:val="16"/>
                <w:szCs w:val="16"/>
                <w:color w:val="auto"/>
                <w:w w:val="99"/>
              </w:rPr>
              <w:t>(Address of principal executive offices) (Zip Code)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20"/>
        </w:trPr>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(212) 894-7000</w:t>
            </w: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40" w:type="dxa"/>
            <w:vAlign w:val="bottom"/>
            <w:gridSpan w:val="4"/>
          </w:tcPr>
          <w:p>
            <w:pPr>
              <w:jc w:val="center"/>
              <w:ind w:left="341"/>
              <w:spacing w:after="0"/>
              <w:rPr>
                <w:sz w:val="20"/>
                <w:szCs w:val="20"/>
                <w:color w:val="auto"/>
              </w:rPr>
            </w:pPr>
            <w:r>
              <w:rPr>
                <w:rFonts w:ascii="Times New Roman" w:cs="Times New Roman" w:eastAsia="Times New Roman" w:hAnsi="Times New Roman"/>
                <w:sz w:val="16"/>
                <w:szCs w:val="16"/>
                <w:color w:val="auto"/>
                <w:w w:val="99"/>
              </w:rPr>
              <w:t>(Registrants’ telephone number, including area code)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54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780" w:type="dxa"/>
            <w:vAlign w:val="bottom"/>
            <w:gridSpan w:val="12"/>
          </w:tcPr>
          <w:p>
            <w:pPr>
              <w:jc w:val="center"/>
              <w:ind w:right="3520"/>
              <w:spacing w:after="0"/>
              <w:rPr>
                <w:sz w:val="20"/>
                <w:szCs w:val="20"/>
                <w:color w:val="auto"/>
              </w:rPr>
            </w:pPr>
            <w:r>
              <w:rPr>
                <w:rFonts w:ascii="Times New Roman" w:cs="Times New Roman" w:eastAsia="Times New Roman" w:hAnsi="Times New Roman"/>
                <w:sz w:val="16"/>
                <w:szCs w:val="16"/>
                <w:color w:val="auto"/>
                <w:w w:val="99"/>
              </w:rPr>
              <w:t>Securities registered pursuant to Section 12(b) of the Act:</w:t>
            </w:r>
          </w:p>
        </w:tc>
      </w:tr>
      <w:tr>
        <w:trPr>
          <w:trHeight w:val="32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Registrant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680" w:type="dxa"/>
            <w:vAlign w:val="bottom"/>
            <w:gridSpan w:val="2"/>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55"/>
        </w:trPr>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color w:val="auto"/>
                <w:w w:val="97"/>
              </w:rPr>
              <w:t>Vornado Realty Trust</w:t>
            </w:r>
          </w:p>
        </w:tc>
        <w:tc>
          <w:tcPr>
            <w:tcW w:w="120" w:type="dxa"/>
            <w:vAlign w:val="bottom"/>
          </w:tcPr>
          <w:p>
            <w:pPr>
              <w:spacing w:after="0"/>
              <w:rPr>
                <w:sz w:val="13"/>
                <w:szCs w:val="13"/>
                <w:color w:val="auto"/>
              </w:rPr>
            </w:pPr>
          </w:p>
        </w:tc>
        <w:tc>
          <w:tcPr>
            <w:tcW w:w="3160" w:type="dxa"/>
            <w:vAlign w:val="bottom"/>
            <w:tcBorders>
              <w:top w:val="single" w:sz="8" w:color="auto"/>
            </w:tcBorders>
            <w:gridSpan w:val="4"/>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Common Shares of beneficial interest, $.04 par</w:t>
            </w:r>
          </w:p>
        </w:tc>
        <w:tc>
          <w:tcPr>
            <w:tcW w:w="1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341"/>
              <w:spacing w:after="0" w:line="155" w:lineRule="exact"/>
              <w:rPr>
                <w:sz w:val="20"/>
                <w:szCs w:val="20"/>
                <w:color w:val="auto"/>
              </w:rPr>
            </w:pPr>
            <w:r>
              <w:rPr>
                <w:rFonts w:ascii="Times New Roman" w:cs="Times New Roman" w:eastAsia="Times New Roman" w:hAnsi="Times New Roman"/>
                <w:sz w:val="16"/>
                <w:szCs w:val="16"/>
                <w:color w:val="auto"/>
                <w:w w:val="97"/>
              </w:rPr>
              <w:t>VNO</w:t>
            </w:r>
          </w:p>
        </w:tc>
        <w:tc>
          <w:tcPr>
            <w:tcW w:w="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20" w:type="dxa"/>
            <w:vAlign w:val="bottom"/>
            <w:tcBorders>
              <w:top w:val="single" w:sz="8" w:color="auto"/>
            </w:tcBorders>
          </w:tcPr>
          <w:p>
            <w:pPr>
              <w:jc w:val="center"/>
              <w:ind w:right="101"/>
              <w:spacing w:after="0" w:line="155" w:lineRule="exact"/>
              <w:rPr>
                <w:sz w:val="20"/>
                <w:szCs w:val="20"/>
                <w:color w:val="auto"/>
              </w:rPr>
            </w:pPr>
            <w:r>
              <w:rPr>
                <w:rFonts w:ascii="Times New Roman" w:cs="Times New Roman" w:eastAsia="Times New Roman" w:hAnsi="Times New Roman"/>
                <w:sz w:val="16"/>
                <w:szCs w:val="16"/>
                <w:color w:val="auto"/>
                <w:w w:val="98"/>
              </w:rPr>
              <w:t>New York Stock Exchange</w:t>
            </w:r>
          </w:p>
        </w:tc>
        <w:tc>
          <w:tcPr>
            <w:tcW w:w="60" w:type="dxa"/>
            <w:vAlign w:val="bottom"/>
            <w:gridSpan w:val="2"/>
          </w:tcPr>
          <w:p>
            <w:pPr>
              <w:spacing w:after="0"/>
              <w:rPr>
                <w:sz w:val="13"/>
                <w:szCs w:val="13"/>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gridSpan w:val="2"/>
          </w:tcPr>
          <w:p>
            <w:pPr>
              <w:jc w:val="center"/>
              <w:ind w:right="1200"/>
              <w:spacing w:after="0"/>
              <w:rPr>
                <w:sz w:val="20"/>
                <w:szCs w:val="20"/>
                <w:color w:val="auto"/>
              </w:rPr>
            </w:pPr>
            <w:r>
              <w:rPr>
                <w:rFonts w:ascii="Times New Roman" w:cs="Times New Roman" w:eastAsia="Times New Roman" w:hAnsi="Times New Roman"/>
                <w:sz w:val="16"/>
                <w:szCs w:val="16"/>
                <w:color w:val="auto"/>
                <w:w w:val="99"/>
              </w:rPr>
              <w:t>value per share</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63"/>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gridSpan w:val="5"/>
          </w:tcPr>
          <w:p>
            <w:pPr>
              <w:jc w:val="center"/>
              <w:ind w:right="100"/>
              <w:spacing w:after="0" w:line="164" w:lineRule="exact"/>
              <w:rPr>
                <w:sz w:val="20"/>
                <w:szCs w:val="20"/>
                <w:color w:val="auto"/>
              </w:rPr>
            </w:pPr>
            <w:r>
              <w:rPr>
                <w:rFonts w:ascii="Times New Roman" w:cs="Times New Roman" w:eastAsia="Times New Roman" w:hAnsi="Times New Roman"/>
                <w:sz w:val="16"/>
                <w:szCs w:val="16"/>
                <w:color w:val="auto"/>
                <w:w w:val="99"/>
              </w:rPr>
              <w:t>Cumulative Redeemable Preferred Shares of</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9"/>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60" w:type="dxa"/>
            <w:vAlign w:val="bottom"/>
            <w:gridSpan w:val="5"/>
          </w:tcPr>
          <w:p>
            <w:pPr>
              <w:jc w:val="center"/>
              <w:ind w:right="120"/>
              <w:spacing w:after="0" w:line="159" w:lineRule="exact"/>
              <w:rPr>
                <w:sz w:val="20"/>
                <w:szCs w:val="20"/>
                <w:color w:val="auto"/>
              </w:rPr>
            </w:pPr>
            <w:r>
              <w:rPr>
                <w:rFonts w:ascii="Times New Roman" w:cs="Times New Roman" w:eastAsia="Times New Roman" w:hAnsi="Times New Roman"/>
                <w:sz w:val="16"/>
                <w:szCs w:val="16"/>
                <w:color w:val="auto"/>
                <w:w w:val="99"/>
              </w:rPr>
              <w:t>beneficial interest, liquidation preference $25.00</w:t>
            </w: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6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w w:val="98"/>
              </w:rPr>
              <w:t>per share:</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Vornado Realty Trust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color w:val="auto"/>
                <w:w w:val="99"/>
              </w:rPr>
              <w:t>5.40% Series L</w:t>
            </w:r>
          </w:p>
        </w:tc>
        <w:tc>
          <w:tcPr>
            <w:tcW w:w="600" w:type="dxa"/>
            <w:vAlign w:val="bottom"/>
          </w:tcPr>
          <w:p>
            <w:pPr>
              <w:spacing w:after="0"/>
              <w:rPr>
                <w:sz w:val="18"/>
                <w:szCs w:val="18"/>
                <w:color w:val="auto"/>
              </w:rPr>
            </w:pPr>
          </w:p>
        </w:tc>
        <w:tc>
          <w:tcPr>
            <w:tcW w:w="1080" w:type="dxa"/>
            <w:vAlign w:val="bottom"/>
          </w:tcPr>
          <w:p>
            <w:pPr>
              <w:jc w:val="center"/>
              <w:ind w:right="341"/>
              <w:spacing w:after="0"/>
              <w:rPr>
                <w:sz w:val="20"/>
                <w:szCs w:val="20"/>
                <w:color w:val="auto"/>
              </w:rPr>
            </w:pPr>
            <w:r>
              <w:rPr>
                <w:rFonts w:ascii="Times New Roman" w:cs="Times New Roman" w:eastAsia="Times New Roman" w:hAnsi="Times New Roman"/>
                <w:sz w:val="16"/>
                <w:szCs w:val="16"/>
                <w:color w:val="auto"/>
              </w:rPr>
              <w:t>VNO/PL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w w:val="98"/>
              </w:rPr>
              <w:t>New York Stock Exchange</w:t>
            </w:r>
          </w:p>
        </w:tc>
      </w:tr>
      <w:tr>
        <w:trPr>
          <w:trHeight w:val="212"/>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Vornado Realty Trust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color w:val="auto"/>
                <w:w w:val="99"/>
              </w:rPr>
              <w:t>5.25% Series M</w:t>
            </w:r>
          </w:p>
        </w:tc>
        <w:tc>
          <w:tcPr>
            <w:tcW w:w="600" w:type="dxa"/>
            <w:vAlign w:val="bottom"/>
          </w:tcPr>
          <w:p>
            <w:pPr>
              <w:spacing w:after="0"/>
              <w:rPr>
                <w:sz w:val="18"/>
                <w:szCs w:val="18"/>
                <w:color w:val="auto"/>
              </w:rPr>
            </w:pPr>
          </w:p>
        </w:tc>
        <w:tc>
          <w:tcPr>
            <w:tcW w:w="1080" w:type="dxa"/>
            <w:vAlign w:val="bottom"/>
          </w:tcPr>
          <w:p>
            <w:pPr>
              <w:jc w:val="center"/>
              <w:ind w:right="341"/>
              <w:spacing w:after="0"/>
              <w:rPr>
                <w:sz w:val="20"/>
                <w:szCs w:val="20"/>
                <w:color w:val="auto"/>
              </w:rPr>
            </w:pPr>
            <w:r>
              <w:rPr>
                <w:rFonts w:ascii="Times New Roman" w:cs="Times New Roman" w:eastAsia="Times New Roman" w:hAnsi="Times New Roman"/>
                <w:sz w:val="16"/>
                <w:szCs w:val="16"/>
                <w:color w:val="auto"/>
                <w:w w:val="99"/>
              </w:rPr>
              <w:t>VNO/PM</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w w:val="98"/>
              </w:rPr>
              <w:t>New York Stock Exchange</w:t>
            </w:r>
          </w:p>
        </w:tc>
      </w:tr>
      <w:tr>
        <w:trPr>
          <w:trHeight w:val="212"/>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Vornado Realty Trust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color w:val="auto"/>
                <w:w w:val="99"/>
              </w:rPr>
              <w:t>5.25% Series N</w:t>
            </w:r>
          </w:p>
        </w:tc>
        <w:tc>
          <w:tcPr>
            <w:tcW w:w="600" w:type="dxa"/>
            <w:vAlign w:val="bottom"/>
          </w:tcPr>
          <w:p>
            <w:pPr>
              <w:spacing w:after="0"/>
              <w:rPr>
                <w:sz w:val="18"/>
                <w:szCs w:val="18"/>
                <w:color w:val="auto"/>
              </w:rPr>
            </w:pPr>
          </w:p>
        </w:tc>
        <w:tc>
          <w:tcPr>
            <w:tcW w:w="1080" w:type="dxa"/>
            <w:vAlign w:val="bottom"/>
          </w:tcPr>
          <w:p>
            <w:pPr>
              <w:jc w:val="center"/>
              <w:ind w:right="341"/>
              <w:spacing w:after="0"/>
              <w:rPr>
                <w:sz w:val="20"/>
                <w:szCs w:val="20"/>
                <w:color w:val="auto"/>
              </w:rPr>
            </w:pPr>
            <w:r>
              <w:rPr>
                <w:rFonts w:ascii="Times New Roman" w:cs="Times New Roman" w:eastAsia="Times New Roman" w:hAnsi="Times New Roman"/>
                <w:sz w:val="16"/>
                <w:szCs w:val="16"/>
                <w:color w:val="auto"/>
                <w:w w:val="97"/>
              </w:rPr>
              <w:t>VNO/PN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w w:val="98"/>
              </w:rPr>
              <w:t>New York Stock Exchange</w:t>
            </w:r>
          </w:p>
        </w:tc>
      </w:tr>
      <w:tr>
        <w:trPr>
          <w:trHeight w:val="212"/>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Vornado Realty Trust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color w:val="auto"/>
                <w:w w:val="99"/>
              </w:rPr>
              <w:t>4.45% Series O</w:t>
            </w:r>
          </w:p>
        </w:tc>
        <w:tc>
          <w:tcPr>
            <w:tcW w:w="600" w:type="dxa"/>
            <w:vAlign w:val="bottom"/>
          </w:tcPr>
          <w:p>
            <w:pPr>
              <w:spacing w:after="0"/>
              <w:rPr>
                <w:sz w:val="18"/>
                <w:szCs w:val="18"/>
                <w:color w:val="auto"/>
              </w:rPr>
            </w:pPr>
          </w:p>
        </w:tc>
        <w:tc>
          <w:tcPr>
            <w:tcW w:w="1080" w:type="dxa"/>
            <w:vAlign w:val="bottom"/>
          </w:tcPr>
          <w:p>
            <w:pPr>
              <w:jc w:val="center"/>
              <w:ind w:right="341"/>
              <w:spacing w:after="0"/>
              <w:rPr>
                <w:sz w:val="20"/>
                <w:szCs w:val="20"/>
                <w:color w:val="auto"/>
              </w:rPr>
            </w:pPr>
            <w:r>
              <w:rPr>
                <w:rFonts w:ascii="Times New Roman" w:cs="Times New Roman" w:eastAsia="Times New Roman" w:hAnsi="Times New Roman"/>
                <w:sz w:val="16"/>
                <w:szCs w:val="16"/>
                <w:color w:val="auto"/>
                <w:w w:val="97"/>
              </w:rPr>
              <w:t>VNO/PO</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w w:val="98"/>
              </w:rPr>
              <w:t>New York Stock Exchange</w:t>
            </w:r>
          </w:p>
        </w:tc>
      </w:tr>
    </w:tbl>
    <w:p>
      <w:pPr>
        <w:spacing w:after="0" w:line="150" w:lineRule="exact"/>
        <w:rPr>
          <w:sz w:val="24"/>
          <w:szCs w:val="24"/>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80"/>
        <w:spacing w:after="0" w:line="184" w:lineRule="exact"/>
        <w:tabs>
          <w:tab w:leader="none" w:pos="100" w:val="left"/>
          <w:tab w:leader="none" w:pos="140" w:val="left"/>
          <w:tab w:leader="none" w:pos="120" w:val="left"/>
        </w:tabs>
        <w:rPr>
          <w:sz w:val="20"/>
          <w:szCs w:val="20"/>
          <w:color w:val="auto"/>
        </w:rPr>
      </w:pPr>
      <w:r>
        <w:rPr>
          <w:rFonts w:ascii="Times New Roman" w:cs="Times New Roman" w:eastAsia="Times New Roman" w:hAnsi="Times New Roman"/>
          <w:sz w:val="16"/>
          <w:szCs w:val="16"/>
          <w:color w:val="auto"/>
        </w:rPr>
        <w:t xml:space="preserve">Vornado Realty Trust: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Vornado Realty L.P.: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122" w:lineRule="exact"/>
        <w:rPr>
          <w:sz w:val="24"/>
          <w:szCs w:val="24"/>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80"/>
        <w:spacing w:after="0" w:line="184" w:lineRule="exact"/>
        <w:tabs>
          <w:tab w:leader="none" w:pos="100" w:val="left"/>
          <w:tab w:leader="none" w:pos="140" w:val="left"/>
          <w:tab w:leader="none" w:pos="120" w:val="left"/>
        </w:tabs>
        <w:rPr>
          <w:sz w:val="20"/>
          <w:szCs w:val="20"/>
          <w:color w:val="auto"/>
        </w:rPr>
      </w:pPr>
      <w:r>
        <w:rPr>
          <w:rFonts w:ascii="Times New Roman" w:cs="Times New Roman" w:eastAsia="Times New Roman" w:hAnsi="Times New Roman"/>
          <w:sz w:val="16"/>
          <w:szCs w:val="16"/>
          <w:color w:val="auto"/>
        </w:rPr>
        <w:t xml:space="preserve">Vornado Realty Trust: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Vornado Realty L.P.: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311150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80"/>
          </w:cols>
          <w:pgMar w:left="320" w:top="850" w:right="299" w:bottom="1440" w:gutter="0" w:footer="0" w:header="0"/>
        </w:sectPr>
      </w:pPr>
    </w:p>
    <w:bookmarkStart w:id="1" w:name="page2"/>
    <w:bookmarkEnd w:id="1"/>
    <w:p>
      <w:pPr>
        <w:jc w:val="both"/>
        <w:spacing w:after="0" w:line="30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Vornado Realty Trust:</w:t>
            </w:r>
          </w:p>
        </w:tc>
        <w:tc>
          <w:tcPr>
            <w:tcW w:w="4140" w:type="dxa"/>
            <w:vAlign w:val="bottom"/>
            <w:vMerge w:val="restart"/>
          </w:tcPr>
          <w:p>
            <w:pPr>
              <w:ind w:left="212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0" w:type="dxa"/>
            <w:vAlign w:val="bottom"/>
          </w:tcPr>
          <w:p>
            <w:pPr>
              <w:spacing w:after="0"/>
              <w:rPr>
                <w:sz w:val="1"/>
                <w:szCs w:val="1"/>
                <w:color w:val="auto"/>
              </w:rPr>
            </w:pPr>
          </w:p>
        </w:tc>
      </w:tr>
      <w:tr>
        <w:trPr>
          <w:trHeight w:val="212"/>
        </w:trPr>
        <w:tc>
          <w:tcPr>
            <w:tcW w:w="5180" w:type="dxa"/>
            <w:vAlign w:val="bottom"/>
          </w:tcPr>
          <w:p>
            <w:pPr>
              <w:ind w:left="12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Large Accelerated Filer</w:t>
            </w:r>
          </w:p>
        </w:tc>
        <w:tc>
          <w:tcPr>
            <w:tcW w:w="4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80" w:type="dxa"/>
            <w:vAlign w:val="bottom"/>
          </w:tcPr>
          <w:p>
            <w:pPr>
              <w:ind w:left="12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w:t>
            </w:r>
          </w:p>
        </w:tc>
        <w:tc>
          <w:tcPr>
            <w:tcW w:w="4140" w:type="dxa"/>
            <w:vAlign w:val="bottom"/>
          </w:tcPr>
          <w:p>
            <w:pPr>
              <w:ind w:left="2120"/>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Smaller Reporting Company</w:t>
            </w:r>
          </w:p>
        </w:tc>
        <w:tc>
          <w:tcPr>
            <w:tcW w:w="0" w:type="dxa"/>
            <w:vAlign w:val="bottom"/>
          </w:tcPr>
          <w:p>
            <w:pPr>
              <w:spacing w:after="0"/>
              <w:rPr>
                <w:sz w:val="1"/>
                <w:szCs w:val="1"/>
                <w:color w:val="auto"/>
              </w:rPr>
            </w:pPr>
          </w:p>
        </w:tc>
      </w:tr>
      <w:tr>
        <w:trPr>
          <w:trHeight w:val="268"/>
        </w:trPr>
        <w:tc>
          <w:tcPr>
            <w:tcW w:w="5180" w:type="dxa"/>
            <w:vAlign w:val="bottom"/>
          </w:tcPr>
          <w:p>
            <w:pPr>
              <w:spacing w:after="0"/>
              <w:rPr>
                <w:sz w:val="23"/>
                <w:szCs w:val="23"/>
                <w:color w:val="auto"/>
              </w:rPr>
            </w:pPr>
          </w:p>
        </w:tc>
        <w:tc>
          <w:tcPr>
            <w:tcW w:w="4140" w:type="dxa"/>
            <w:vAlign w:val="bottom"/>
          </w:tcPr>
          <w:p>
            <w:pPr>
              <w:ind w:left="2120"/>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Emerging Growth Company</w:t>
            </w:r>
          </w:p>
        </w:tc>
        <w:tc>
          <w:tcPr>
            <w:tcW w:w="0" w:type="dxa"/>
            <w:vAlign w:val="bottom"/>
          </w:tcPr>
          <w:p>
            <w:pPr>
              <w:spacing w:after="0"/>
              <w:rPr>
                <w:sz w:val="1"/>
                <w:szCs w:val="1"/>
                <w:color w:val="auto"/>
              </w:rPr>
            </w:pPr>
          </w:p>
        </w:tc>
      </w:tr>
      <w:tr>
        <w:trPr>
          <w:trHeight w:val="315"/>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Vornado Realty L.P.:</w:t>
            </w:r>
          </w:p>
        </w:tc>
        <w:tc>
          <w:tcPr>
            <w:tcW w:w="4140" w:type="dxa"/>
            <w:vAlign w:val="bottom"/>
            <w:vMerge w:val="restart"/>
          </w:tcPr>
          <w:p>
            <w:pPr>
              <w:ind w:left="212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0" w:type="dxa"/>
            <w:vAlign w:val="bottom"/>
          </w:tcPr>
          <w:p>
            <w:pPr>
              <w:spacing w:after="0"/>
              <w:rPr>
                <w:sz w:val="1"/>
                <w:szCs w:val="1"/>
                <w:color w:val="auto"/>
              </w:rPr>
            </w:pPr>
          </w:p>
        </w:tc>
      </w:tr>
      <w:tr>
        <w:trPr>
          <w:trHeight w:val="212"/>
        </w:trPr>
        <w:tc>
          <w:tcPr>
            <w:tcW w:w="5180" w:type="dxa"/>
            <w:vAlign w:val="bottom"/>
          </w:tcPr>
          <w:p>
            <w:pPr>
              <w:ind w:left="12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Large Accelerated Filer</w:t>
            </w:r>
          </w:p>
        </w:tc>
        <w:tc>
          <w:tcPr>
            <w:tcW w:w="4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80" w:type="dxa"/>
            <w:vAlign w:val="bottom"/>
          </w:tcPr>
          <w:p>
            <w:pPr>
              <w:ind w:left="12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w:t>
            </w:r>
          </w:p>
        </w:tc>
        <w:tc>
          <w:tcPr>
            <w:tcW w:w="4140" w:type="dxa"/>
            <w:vAlign w:val="bottom"/>
          </w:tcPr>
          <w:p>
            <w:pPr>
              <w:ind w:left="2120"/>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Smaller Reporting Company</w:t>
            </w:r>
          </w:p>
        </w:tc>
        <w:tc>
          <w:tcPr>
            <w:tcW w:w="0" w:type="dxa"/>
            <w:vAlign w:val="bottom"/>
          </w:tcPr>
          <w:p>
            <w:pPr>
              <w:spacing w:after="0"/>
              <w:rPr>
                <w:sz w:val="1"/>
                <w:szCs w:val="1"/>
                <w:color w:val="auto"/>
              </w:rPr>
            </w:pPr>
          </w:p>
        </w:tc>
      </w:tr>
      <w:tr>
        <w:trPr>
          <w:trHeight w:val="268"/>
        </w:trPr>
        <w:tc>
          <w:tcPr>
            <w:tcW w:w="5180" w:type="dxa"/>
            <w:vAlign w:val="bottom"/>
          </w:tcPr>
          <w:p>
            <w:pPr>
              <w:spacing w:after="0"/>
              <w:rPr>
                <w:sz w:val="23"/>
                <w:szCs w:val="23"/>
                <w:color w:val="auto"/>
              </w:rPr>
            </w:pPr>
          </w:p>
        </w:tc>
        <w:tc>
          <w:tcPr>
            <w:tcW w:w="4140" w:type="dxa"/>
            <w:vAlign w:val="bottom"/>
          </w:tcPr>
          <w:p>
            <w:pPr>
              <w:ind w:left="2120"/>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Emerging Growth Company</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0"/>
          <w:szCs w:val="20"/>
          <w:color w:val="auto"/>
        </w:rPr>
      </w:pPr>
    </w:p>
    <w:p>
      <w:pPr>
        <w:jc w:val="center"/>
        <w:ind w:right="80"/>
        <w:spacing w:after="0" w:line="184" w:lineRule="exact"/>
        <w:tabs>
          <w:tab w:leader="none" w:pos="140" w:val="left"/>
        </w:tabs>
        <w:rPr>
          <w:sz w:val="20"/>
          <w:szCs w:val="20"/>
          <w:color w:val="auto"/>
        </w:rPr>
      </w:pPr>
      <w:r>
        <w:rPr>
          <w:rFonts w:ascii="Times New Roman" w:cs="Times New Roman" w:eastAsia="Times New Roman" w:hAnsi="Times New Roman"/>
          <w:sz w:val="16"/>
          <w:szCs w:val="16"/>
          <w:color w:val="auto"/>
        </w:rPr>
        <w:t xml:space="preserve">Vornado Realty Trust: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Vornado Realty L.P.: </w:t>
      </w:r>
      <w:r>
        <w:rPr>
          <w:rFonts w:ascii="MS PGothic" w:cs="MS PGothic" w:eastAsia="MS PGothic" w:hAnsi="MS PGothic"/>
          <w:sz w:val="15"/>
          <w:szCs w:val="15"/>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4" w:lineRule="exact"/>
        <w:rPr>
          <w:sz w:val="20"/>
          <w:szCs w:val="20"/>
          <w:color w:val="auto"/>
        </w:rPr>
      </w:pPr>
    </w:p>
    <w:p>
      <w:pPr>
        <w:ind w:left="3200"/>
        <w:spacing w:after="0" w:line="184" w:lineRule="exact"/>
        <w:tabs>
          <w:tab w:leader="none" w:pos="5700" w:val="left"/>
        </w:tabs>
        <w:rPr>
          <w:sz w:val="20"/>
          <w:szCs w:val="20"/>
          <w:color w:val="auto"/>
        </w:rPr>
      </w:pPr>
      <w:r>
        <w:rPr>
          <w:rFonts w:ascii="Times New Roman" w:cs="Times New Roman" w:eastAsia="Times New Roman" w:hAnsi="Times New Roman"/>
          <w:sz w:val="16"/>
          <w:szCs w:val="16"/>
          <w:color w:val="auto"/>
        </w:rPr>
        <w:t xml:space="preserve">Vornado Realty Trust: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Vornado Realty L.P.: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October 30, 2026, 187,006,749 of Vornado Realty Trust’s common shares of beneficial interest 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518795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135890</wp:posOffset>
            </wp:positionV>
            <wp:extent cx="713486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13" w:lineRule="exact"/>
        <w:rPr>
          <w:sz w:val="20"/>
          <w:szCs w:val="20"/>
          <w:color w:val="auto"/>
        </w:rPr>
      </w:pPr>
    </w:p>
    <w:p>
      <w:pPr>
        <w:jc w:val="both"/>
        <w:ind w:firstLine="278"/>
        <w:spacing w:after="0" w:line="255" w:lineRule="auto"/>
        <w:rPr>
          <w:sz w:val="20"/>
          <w:szCs w:val="20"/>
          <w:color w:val="auto"/>
        </w:rPr>
      </w:pPr>
      <w:r>
        <w:rPr>
          <w:rFonts w:ascii="Times New Roman" w:cs="Times New Roman" w:eastAsia="Times New Roman" w:hAnsi="Times New Roman"/>
          <w:sz w:val="18"/>
          <w:szCs w:val="18"/>
          <w:color w:val="auto"/>
        </w:rPr>
        <w:t>This report combines the quarterly reports on Form 10-Q for the period ended September 30, 2026 of Vornado Realty Trust and Vornado Realty L.P. Unless stated otherwise or the context otherwise requires, references to “Vornado” refer to Vornado Realty Trust, a Maryland real estate investment trust (“REIT”), and references to the “Operating Partnership” refer to Vornado Realty L.P., a Delaware limited partnership. References to the “Company,” “we,” “us” and “our” mean collectively Vornado, the Operating Partnership and those subsidiaries consolidated by Vornado.</w:t>
      </w:r>
    </w:p>
    <w:p>
      <w:pPr>
        <w:spacing w:after="0" w:line="21" w:lineRule="exact"/>
        <w:rPr>
          <w:sz w:val="20"/>
          <w:szCs w:val="20"/>
          <w:color w:val="auto"/>
        </w:rPr>
      </w:pPr>
    </w:p>
    <w:p>
      <w:pPr>
        <w:jc w:val="both"/>
        <w:ind w:firstLine="278"/>
        <w:spacing w:after="0" w:line="259" w:lineRule="auto"/>
        <w:rPr>
          <w:sz w:val="20"/>
          <w:szCs w:val="20"/>
          <w:color w:val="auto"/>
        </w:rPr>
      </w:pPr>
      <w:r>
        <w:rPr>
          <w:rFonts w:ascii="Times New Roman" w:cs="Times New Roman" w:eastAsia="Times New Roman" w:hAnsi="Times New Roman"/>
          <w:sz w:val="18"/>
          <w:szCs w:val="18"/>
          <w:color w:val="auto"/>
        </w:rPr>
        <w:t>The Operating Partnership is the entity through which we conduct substantially all of our business and own, either directly or through subsidiaries, substantially all of our assets. Vornado is the sole general partner and also a 91.2% limited partner of the Operating Partnership. As the sole general partner of the Operating Partnership, Vornado has exclusive control of the Operating Partnership’s day-to-day management.</w:t>
      </w:r>
    </w:p>
    <w:p>
      <w:pPr>
        <w:spacing w:after="0" w:line="19" w:lineRule="exact"/>
        <w:rPr>
          <w:sz w:val="20"/>
          <w:szCs w:val="20"/>
          <w:color w:val="auto"/>
        </w:rPr>
      </w:pPr>
    </w:p>
    <w:p>
      <w:pPr>
        <w:jc w:val="both"/>
        <w:ind w:firstLine="278"/>
        <w:spacing w:after="0" w:line="248" w:lineRule="auto"/>
        <w:rPr>
          <w:sz w:val="20"/>
          <w:szCs w:val="20"/>
          <w:color w:val="auto"/>
        </w:rPr>
      </w:pPr>
      <w:r>
        <w:rPr>
          <w:rFonts w:ascii="Times New Roman" w:cs="Times New Roman" w:eastAsia="Times New Roman" w:hAnsi="Times New Roman"/>
          <w:sz w:val="18"/>
          <w:szCs w:val="18"/>
          <w:color w:val="auto"/>
        </w:rPr>
        <w:t>Under the limited partnership agreement of the Operating Partnership, unitholders may present their Class A units for redemption at any time (subject to restrictions agreed upon at the time of issuance of the units that may restrict such right for a period of time). Class A units may be tendered for redemption to the Operating Partnership for cash; Vornado, at its option, may assume that obligation and pay the holder either cash or Vornado common shares on a one-for-one basis. Because the number of Vornado common shares outstanding at all times equals the number of Class A units owned by Vornado, the redemption value of each Class A unit is equivalent to the market value of one Vornado common share, and the distribution to a Class A unitholder is equal to the dividend paid to a Vornado common shareholder. This one-for-one exchange ratio is subject to specified adjustments to prevent dilution. Vornado generally expects that it will elect to issue its common shares in connection with each such presentation for redemption rather than having the Operating Partnership pay cash. With each such exchange or redemption, Vornado’s percentage ownership in the Operating Partnership will increase. In addition, whenever Vornado issues common shares other than to acquire Class A units of the Operating Partnership, Vornado must contribute any net proceeds it receives to the Operating Partnership and the Operating Partnership must issue to Vornado an equivalent number of Class A units of the Operating Partnership. This structure is commonly referred to as an umbrella partnership REIT, or UPREIT.</w:t>
      </w:r>
    </w:p>
    <w:p>
      <w:pPr>
        <w:spacing w:after="0" w:line="32" w:lineRule="exact"/>
        <w:rPr>
          <w:sz w:val="20"/>
          <w:szCs w:val="20"/>
          <w:color w:val="auto"/>
        </w:rPr>
      </w:pPr>
    </w:p>
    <w:p>
      <w:pPr>
        <w:jc w:val="both"/>
        <w:ind w:firstLine="278"/>
        <w:spacing w:after="0" w:line="274" w:lineRule="auto"/>
        <w:rPr>
          <w:sz w:val="20"/>
          <w:szCs w:val="20"/>
          <w:color w:val="auto"/>
        </w:rPr>
      </w:pPr>
      <w:r>
        <w:rPr>
          <w:rFonts w:ascii="Times New Roman" w:cs="Times New Roman" w:eastAsia="Times New Roman" w:hAnsi="Times New Roman"/>
          <w:sz w:val="18"/>
          <w:szCs w:val="18"/>
          <w:color w:val="auto"/>
        </w:rPr>
        <w:t>The Company believes that combining the quarterly reports on Form 10-Q of Vornado and the Operating Partnership into this single report provides the following benefits:</w:t>
      </w:r>
    </w:p>
    <w:p>
      <w:pPr>
        <w:spacing w:after="0" w:line="4" w:lineRule="exact"/>
        <w:rPr>
          <w:sz w:val="20"/>
          <w:szCs w:val="20"/>
          <w:color w:val="auto"/>
        </w:rPr>
      </w:pPr>
    </w:p>
    <w:p>
      <w:pPr>
        <w:ind w:left="560" w:hanging="316"/>
        <w:spacing w:after="0" w:line="257" w:lineRule="auto"/>
        <w:tabs>
          <w:tab w:leader="none" w:pos="55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investors’ understanding of Vornado and the Operating Partnership by enabling investors to view the business as a whole in the same manner as management views and operates the business;</w:t>
      </w:r>
    </w:p>
    <w:p>
      <w:pPr>
        <w:ind w:left="560" w:hanging="316"/>
        <w:spacing w:after="0" w:line="245" w:lineRule="auto"/>
        <w:tabs>
          <w:tab w:leader="none" w:pos="55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duplicative disclosure and provides a more streamlined and readable presentation because a substantial portion of the disclosure applies to both Vornado and the Operating Partnership; and</w:t>
      </w:r>
    </w:p>
    <w:p>
      <w:pPr>
        <w:spacing w:after="0" w:line="1" w:lineRule="exact"/>
        <w:rPr>
          <w:rFonts w:ascii="Times New Roman" w:cs="Times New Roman" w:eastAsia="Times New Roman" w:hAnsi="Times New Roman"/>
          <w:sz w:val="18"/>
          <w:szCs w:val="18"/>
          <w:color w:val="auto"/>
        </w:rPr>
      </w:pPr>
    </w:p>
    <w:p>
      <w:pPr>
        <w:ind w:left="560" w:hanging="316"/>
        <w:spacing w:after="0"/>
        <w:tabs>
          <w:tab w:leader="none" w:pos="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time and cost efficiencies in the preparation of one combined report instead of two separate reports.</w:t>
      </w:r>
    </w:p>
    <w:p>
      <w:pPr>
        <w:spacing w:after="0" w:line="39" w:lineRule="exact"/>
        <w:rPr>
          <w:sz w:val="20"/>
          <w:szCs w:val="20"/>
          <w:color w:val="auto"/>
        </w:rPr>
      </w:pPr>
    </w:p>
    <w:p>
      <w:pPr>
        <w:jc w:val="both"/>
        <w:ind w:firstLine="278"/>
        <w:spacing w:after="0" w:line="248" w:lineRule="auto"/>
        <w:rPr>
          <w:sz w:val="20"/>
          <w:szCs w:val="20"/>
          <w:color w:val="auto"/>
        </w:rPr>
      </w:pPr>
      <w:r>
        <w:rPr>
          <w:rFonts w:ascii="Times New Roman" w:cs="Times New Roman" w:eastAsia="Times New Roman" w:hAnsi="Times New Roman"/>
          <w:sz w:val="18"/>
          <w:szCs w:val="18"/>
          <w:color w:val="auto"/>
        </w:rPr>
        <w:t>The Company believes it is important to understand the few differences between Vornado and the Operating Partnership in the context of how Vornado and the Operating Partnership operate as a consolidated company. The financial results of the Operating Partnership are consolidated into the financial statements of Vornado. Vornado does not have any significant assets, liabilities or operations, other than its investment in the Operating Partnership. The Operating Partnership, not Vornado, generally executes all significant business relationships other than transactions involving the securities of Vornado. The Operating Partnership holds substantially all of the assets of Vornado. The Operating Partnership conducts the operations of the business and is structured as a partnership with no publicly traded equity. Except for the net proceeds from equity offerings by Vornado, which are contributed to the capital of the Operating Partnership in exchange for Class A units of partnership in the Operating Partnership, and the net proceeds of debt offerings by Vornado, which are contributed to the Operating Partnership in exchange for debt securities of the Operating Partnership, as applicable, the Operating Partnership generates all remaining capital required by the Company’s business. These sources may include working capital, net cash provided by operating activities, borrowings under the revolving credit facilities, the issuance of secured and unsecured debt and equity securities and proceeds received from the disposition of certain properties.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3" w:name="page4"/>
    <w:bookmarkEnd w:id="3"/>
    <w:p>
      <w:pPr>
        <w:ind w:firstLine="278"/>
        <w:spacing w:after="0" w:line="268" w:lineRule="auto"/>
        <w:rPr>
          <w:sz w:val="20"/>
          <w:szCs w:val="20"/>
          <w:color w:val="auto"/>
        </w:rPr>
      </w:pPr>
      <w:r>
        <w:rPr>
          <w:rFonts w:ascii="Times New Roman" w:cs="Times New Roman" w:eastAsia="Times New Roman" w:hAnsi="Times New Roman"/>
          <w:sz w:val="18"/>
          <w:szCs w:val="18"/>
          <w:color w:val="auto"/>
        </w:rPr>
        <w:t>To help investors better understand the key differences between Vornado and the Operating Partnership, certain information for Vornado and the Operating Partnership in this report has been separated, as set forth below:</w:t>
      </w:r>
    </w:p>
    <w:p>
      <w:pPr>
        <w:spacing w:after="0" w:line="1" w:lineRule="exact"/>
        <w:rPr>
          <w:sz w:val="20"/>
          <w:szCs w:val="20"/>
          <w:color w:val="auto"/>
        </w:rPr>
      </w:pPr>
    </w:p>
    <w:p>
      <w:pPr>
        <w:ind w:left="800" w:hanging="476"/>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1. Financial Statements (unaudited), which includes the following specific disclosures for Vornado Realty Trust and Vornado Realty L.P.:</w:t>
      </w:r>
    </w:p>
    <w:p>
      <w:pPr>
        <w:spacing w:after="0" w:line="31" w:lineRule="exact"/>
        <w:rPr>
          <w:rFonts w:ascii="Times New Roman" w:cs="Times New Roman" w:eastAsia="Times New Roman" w:hAnsi="Times New Roman"/>
          <w:sz w:val="18"/>
          <w:szCs w:val="18"/>
          <w:color w:val="auto"/>
        </w:rPr>
      </w:pPr>
    </w:p>
    <w:p>
      <w:pPr>
        <w:ind w:left="1280" w:hanging="400"/>
        <w:spacing w:after="0"/>
        <w:tabs>
          <w:tab w:leader="none" w:pos="12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10. Redeemable Noncontrolling Interests</w:t>
      </w:r>
    </w:p>
    <w:p>
      <w:pPr>
        <w:spacing w:after="0" w:line="24" w:lineRule="exact"/>
        <w:rPr>
          <w:rFonts w:ascii="Times New Roman" w:cs="Times New Roman" w:eastAsia="Times New Roman" w:hAnsi="Times New Roman"/>
          <w:sz w:val="18"/>
          <w:szCs w:val="18"/>
          <w:color w:val="auto"/>
        </w:rPr>
      </w:pPr>
    </w:p>
    <w:p>
      <w:pPr>
        <w:ind w:left="1280" w:hanging="400"/>
        <w:spacing w:after="0"/>
        <w:tabs>
          <w:tab w:leader="none" w:pos="12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11. Shareholders' Equity/Partners' Capital</w:t>
      </w:r>
    </w:p>
    <w:p>
      <w:pPr>
        <w:spacing w:after="0" w:line="5" w:lineRule="exact"/>
        <w:rPr>
          <w:rFonts w:ascii="Times New Roman" w:cs="Times New Roman" w:eastAsia="Times New Roman" w:hAnsi="Times New Roman"/>
          <w:sz w:val="18"/>
          <w:szCs w:val="18"/>
          <w:color w:val="auto"/>
        </w:rPr>
      </w:pPr>
    </w:p>
    <w:p>
      <w:pPr>
        <w:ind w:left="1280" w:hanging="400"/>
        <w:spacing w:after="0"/>
        <w:tabs>
          <w:tab w:leader="none" w:pos="12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13. (Loss) Income Per Share and Per Class A Unit</w:t>
      </w:r>
    </w:p>
    <w:p>
      <w:pPr>
        <w:spacing w:after="0" w:line="38" w:lineRule="exact"/>
        <w:rPr>
          <w:rFonts w:ascii="Times New Roman" w:cs="Times New Roman" w:eastAsia="Times New Roman" w:hAnsi="Times New Roman"/>
          <w:sz w:val="18"/>
          <w:szCs w:val="18"/>
          <w:color w:val="auto"/>
        </w:rPr>
      </w:pPr>
    </w:p>
    <w:p>
      <w:pPr>
        <w:ind w:left="800" w:hanging="476"/>
        <w:spacing w:after="0" w:line="274" w:lineRule="auto"/>
        <w:tabs>
          <w:tab w:leader="none" w:pos="7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2. Management’s Discussion and Analysis of Financial Condition and Results of Operations includes information specific to each entity, where applicable.</w:t>
      </w:r>
    </w:p>
    <w:p>
      <w:pPr>
        <w:spacing w:after="0" w:line="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This report also includes separate Part I, Item 4. Controls and Procedures and Part II, Item 2. Unregistered Sales of Equity Securities and Use of Proceeds sections and separate Exhibits 31 and 32 certifications for each of Vornado and the Operating Partnership in order to establish that the requisite certifications have been made and that Vornado and the Operating Partnership are compliant with Rule 13a-15 or Rule 15d-15 of the Securities Exchange Act of 1934 and 18 U.S.C. §1350.</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9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Information:</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211"/>
        </w:trPr>
        <w:tc>
          <w:tcPr>
            <w:tcW w:w="1140" w:type="dxa"/>
            <w:vAlign w:val="bottom"/>
            <w:vMerge w:val="continue"/>
          </w:tcPr>
          <w:p>
            <w:pPr>
              <w:spacing w:after="0"/>
              <w:rPr>
                <w:sz w:val="18"/>
                <w:szCs w:val="18"/>
                <w:color w:val="auto"/>
              </w:rPr>
            </w:pPr>
          </w:p>
        </w:tc>
        <w:tc>
          <w:tcPr>
            <w:tcW w:w="9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0" w:type="dxa"/>
            <w:vAlign w:val="bottom"/>
          </w:tcPr>
          <w:p>
            <w:pPr>
              <w:spacing w:after="0"/>
              <w:rPr>
                <w:sz w:val="1"/>
                <w:szCs w:val="1"/>
                <w:color w:val="auto"/>
              </w:rPr>
            </w:pPr>
          </w:p>
        </w:tc>
      </w:tr>
      <w:tr>
        <w:trPr>
          <w:trHeight w:val="127"/>
        </w:trPr>
        <w:tc>
          <w:tcPr>
            <w:tcW w:w="1140" w:type="dxa"/>
            <w:vAlign w:val="bottom"/>
          </w:tcPr>
          <w:p>
            <w:pPr>
              <w:spacing w:after="0"/>
              <w:rPr>
                <w:sz w:val="11"/>
                <w:szCs w:val="11"/>
                <w:color w:val="auto"/>
              </w:rPr>
            </w:pPr>
          </w:p>
        </w:tc>
        <w:tc>
          <w:tcPr>
            <w:tcW w:w="9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Item 1.</w:t>
            </w: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Statements of Vornado Realty Trust: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Balance Sheets (Unaudited) as of September 30, 2026 and December 31, 2025</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6</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Statements of Income (Unaudited) for the Three and Nine Months Ended September 30, 2026 and 2025</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7</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Statements of Comprehensive Income (Unaudited) for the Three and Nine Months Ended September 30, 2026 and 2025</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8</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Statements of Changes in Equity (Unaudited) for the Three and Nine Months Ended September 30, 2026 and 2025</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9</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Statements of Cash Flows (Unaudited) for the Nine Months Ended September 30, 2026 and 2025</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11</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Statements of Vornado Realty L.P.:</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Balance Sheets (Unaudited) as of September 30, 2026 and December 31, 2025</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13</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Statements of Income (Unaudited) for the Three and Nine Months Ended September 30, 2026 and 2025</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14</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Statements of Comprehensive Income (Unaudited) for the Three and Nine Months Ended September 30, 2026 and 2025</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15</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Statements of Changes in Equity (Unaudited) for the Three and Nine Months Ended September 30, 2026 and 2025</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16</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Statements of Cash Flows (Unaudited) for the Nine Months Ended September 30, 2026 and 2025</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18</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Vornado Realty Trust and Vornado Realty L.P.:</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to Consolidated Financial Statements (Unaudited)</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20</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spacing w:after="0"/>
              <w:rPr>
                <w:sz w:val="18"/>
                <w:szCs w:val="18"/>
                <w:color w:val="auto"/>
              </w:rPr>
            </w:pP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Reports of Independent Registered Public Accounting Firm</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39</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Item 2.</w:t>
            </w: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41</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Item 3.</w:t>
            </w: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Quantitative and Qualitative Disclosures About Market Risk</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65</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Item 4.</w:t>
            </w: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Controls and Procedures</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67</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9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Information:</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1140" w:type="dxa"/>
            <w:vAlign w:val="bottom"/>
          </w:tcPr>
          <w:p>
            <w:pPr>
              <w:spacing w:after="0"/>
              <w:rPr>
                <w:sz w:val="11"/>
                <w:szCs w:val="11"/>
                <w:color w:val="auto"/>
              </w:rPr>
            </w:pPr>
          </w:p>
        </w:tc>
        <w:tc>
          <w:tcPr>
            <w:tcW w:w="9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Item 1.</w:t>
            </w: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Legal Proceedings</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68</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Item 1A.</w:t>
            </w: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 Factors</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68</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Item 2.</w:t>
            </w: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Unregistered Sales of Equity Securities and Use of Proceeds</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68</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Item 3.</w:t>
            </w: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Defaults Upon Senior Securities</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68</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Item 4.</w:t>
            </w: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Mine Safety Disclosures</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68</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Item 5.</w:t>
            </w: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Information</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69</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Item 6.</w:t>
            </w:r>
          </w:p>
        </w:tc>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Exhibits</w:t>
            </w: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70</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SIGNATURES</w:t>
            </w:r>
          </w:p>
        </w:tc>
        <w:tc>
          <w:tcPr>
            <w:tcW w:w="9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5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TRUST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unit, share, and per share amounts)</w:t>
            </w:r>
          </w:p>
        </w:tc>
        <w:tc>
          <w:tcPr>
            <w:tcW w:w="160" w:type="dxa"/>
            <w:vAlign w:val="bottom"/>
          </w:tcPr>
          <w:p>
            <w:pPr>
              <w:spacing w:after="0"/>
              <w:rPr>
                <w:sz w:val="16"/>
                <w:szCs w:val="16"/>
                <w:color w:val="auto"/>
              </w:rPr>
            </w:pPr>
          </w:p>
        </w:tc>
        <w:tc>
          <w:tcPr>
            <w:tcW w:w="180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48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61"/>
        </w:trPr>
        <w:tc>
          <w:tcPr>
            <w:tcW w:w="7800" w:type="dxa"/>
            <w:vAlign w:val="bottom"/>
          </w:tcPr>
          <w:p>
            <w:pPr>
              <w:ind w:left="36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at cost:</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Land</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2,357,135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2,408,914</w:t>
            </w:r>
          </w:p>
        </w:tc>
        <w:tc>
          <w:tcPr>
            <w:tcW w:w="0" w:type="dxa"/>
            <w:vAlign w:val="bottom"/>
          </w:tcPr>
          <w:p>
            <w:pPr>
              <w:spacing w:after="0"/>
              <w:rPr>
                <w:sz w:val="1"/>
                <w:szCs w:val="1"/>
                <w:color w:val="auto"/>
              </w:rPr>
            </w:pPr>
          </w:p>
        </w:tc>
      </w:tr>
      <w:tr>
        <w:trPr>
          <w:trHeight w:val="191"/>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11,138,348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10,942,418</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Development costs and construction in progress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1,037,845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890,143</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Leasehold improvements and equipment</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110,729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105,080</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14,644,057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14,346,555</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(4,534,751)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(4,191,075)</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net</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10,109,306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10,155,480</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667,270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671,308</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 lease</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166,672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166,024</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580,496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840,850</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143,339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136,696</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Tenant and other receivables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77,137</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partially owned entities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2,244,170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1,941,278</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arising from the straight-lining of rents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828,287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752,545</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leasing costs, net of accumulated amortization of $251,710 and $233,448</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394,515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374,620</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Identified intangible assets, net of accumulated amortization of $87,096 and $81,962</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110,593</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288,911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294,587</w:t>
            </w:r>
          </w:p>
        </w:tc>
        <w:tc>
          <w:tcPr>
            <w:tcW w:w="0" w:type="dxa"/>
            <w:vAlign w:val="bottom"/>
          </w:tcPr>
          <w:p>
            <w:pPr>
              <w:spacing w:after="0"/>
              <w:rPr>
                <w:sz w:val="1"/>
                <w:szCs w:val="1"/>
                <w:color w:val="auto"/>
              </w:rPr>
            </w:pPr>
          </w:p>
        </w:tc>
      </w:tr>
      <w:tr>
        <w:trPr>
          <w:trHeight w:val="192"/>
        </w:trPr>
        <w:tc>
          <w:tcPr>
            <w:tcW w:w="78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15,638,165</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15,521,118</w:t>
            </w:r>
          </w:p>
        </w:tc>
        <w:tc>
          <w:tcPr>
            <w:tcW w:w="0" w:type="dxa"/>
            <w:vAlign w:val="bottom"/>
          </w:tcPr>
          <w:p>
            <w:pPr>
              <w:spacing w:after="0"/>
              <w:rPr>
                <w:sz w:val="1"/>
                <w:szCs w:val="1"/>
                <w:color w:val="auto"/>
              </w:rPr>
            </w:pPr>
          </w:p>
        </w:tc>
      </w:tr>
      <w:tr>
        <w:trPr>
          <w:trHeight w:val="27"/>
        </w:trPr>
        <w:tc>
          <w:tcPr>
            <w:tcW w:w="780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LIABILITIES, REDEEMABLE NONCONTROLLING INTERESTS AND EQUITY</w:t>
            </w: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7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Mortgages payable, net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4,847,467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4,920,669</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unsecured notes, net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842,276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747,202</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Unsecured term loan, net</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840,569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797,337</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Unsecured revolving credit facilities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720,420</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694,361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699,640</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411,957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376,190</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compensation plan</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113,778</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327,943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341,359</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8,985,117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8,716,595</w:t>
            </w:r>
          </w:p>
        </w:tc>
        <w:tc>
          <w:tcPr>
            <w:tcW w:w="0" w:type="dxa"/>
            <w:vAlign w:val="bottom"/>
          </w:tcPr>
          <w:p>
            <w:pPr>
              <w:spacing w:after="0"/>
              <w:rPr>
                <w:sz w:val="1"/>
                <w:szCs w:val="1"/>
                <w:color w:val="auto"/>
              </w:rPr>
            </w:pPr>
          </w:p>
        </w:tc>
      </w:tr>
      <w:tr>
        <w:trPr>
          <w:trHeight w:val="17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Class A units - 16,572,667 and 16,650,713 units outstanding</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561,482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554,136</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Series D cumulative redeemable preferred units - 141,400 units outstanding</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w:t>
            </w:r>
          </w:p>
        </w:tc>
        <w:tc>
          <w:tcPr>
            <w:tcW w:w="0" w:type="dxa"/>
            <w:vAlign w:val="bottom"/>
          </w:tcPr>
          <w:p>
            <w:pPr>
              <w:spacing w:after="0"/>
              <w:rPr>
                <w:sz w:val="1"/>
                <w:szCs w:val="1"/>
                <w:color w:val="auto"/>
              </w:rPr>
            </w:pPr>
          </w:p>
        </w:tc>
      </w:tr>
      <w:tr>
        <w:trPr>
          <w:trHeight w:val="185"/>
        </w:trPr>
        <w:tc>
          <w:tcPr>
            <w:tcW w:w="78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redeemable noncontrolling partnership units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565,017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557,671</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Redeemable noncontrolling interest in a consolidated subsidiary</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68,158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90,280</w:t>
            </w:r>
          </w:p>
        </w:tc>
        <w:tc>
          <w:tcPr>
            <w:tcW w:w="0" w:type="dxa"/>
            <w:vAlign w:val="bottom"/>
          </w:tcPr>
          <w:p>
            <w:pPr>
              <w:spacing w:after="0"/>
              <w:rPr>
                <w:sz w:val="1"/>
                <w:szCs w:val="1"/>
                <w:color w:val="auto"/>
              </w:rPr>
            </w:pPr>
          </w:p>
        </w:tc>
      </w:tr>
      <w:tr>
        <w:trPr>
          <w:trHeight w:val="185"/>
        </w:trPr>
        <w:tc>
          <w:tcPr>
            <w:tcW w:w="78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redeemable noncontrolling interests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633,175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647,951</w:t>
            </w:r>
          </w:p>
        </w:tc>
        <w:tc>
          <w:tcPr>
            <w:tcW w:w="0" w:type="dxa"/>
            <w:vAlign w:val="bottom"/>
          </w:tcPr>
          <w:p>
            <w:pPr>
              <w:spacing w:after="0"/>
              <w:rPr>
                <w:sz w:val="1"/>
                <w:szCs w:val="1"/>
                <w:color w:val="auto"/>
              </w:rPr>
            </w:pPr>
          </w:p>
        </w:tc>
      </w:tr>
      <w:tr>
        <w:trPr>
          <w:trHeight w:val="18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7800" w:type="dxa"/>
            <w:vAlign w:val="bottom"/>
          </w:tcPr>
          <w:p>
            <w:pPr>
              <w:ind w:left="320"/>
              <w:spacing w:after="0" w:line="137" w:lineRule="exact"/>
              <w:rPr>
                <w:sz w:val="20"/>
                <w:szCs w:val="20"/>
                <w:color w:val="auto"/>
              </w:rPr>
            </w:pPr>
            <w:r>
              <w:rPr>
                <w:rFonts w:ascii="Times New Roman" w:cs="Times New Roman" w:eastAsia="Times New Roman" w:hAnsi="Times New Roman"/>
                <w:sz w:val="14"/>
                <w:szCs w:val="14"/>
                <w:color w:val="auto"/>
              </w:rPr>
              <w:t>Preferred shares of beneficial interest: no par value per share; authorized 110,000,000 shares; issued and outstanding 48,787,338</w:t>
            </w:r>
          </w:p>
        </w:tc>
        <w:tc>
          <w:tcPr>
            <w:tcW w:w="160" w:type="dxa"/>
            <w:vAlign w:val="bottom"/>
          </w:tcPr>
          <w:p>
            <w:pPr>
              <w:spacing w:after="0"/>
              <w:rPr>
                <w:sz w:val="11"/>
                <w:szCs w:val="11"/>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1,182,493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1,182,345</w:t>
            </w:r>
          </w:p>
        </w:tc>
        <w:tc>
          <w:tcPr>
            <w:tcW w:w="0" w:type="dxa"/>
            <w:vAlign w:val="bottom"/>
          </w:tcPr>
          <w:p>
            <w:pPr>
              <w:spacing w:after="0"/>
              <w:rPr>
                <w:sz w:val="1"/>
                <w:szCs w:val="1"/>
                <w:color w:val="auto"/>
              </w:rPr>
            </w:pPr>
          </w:p>
        </w:tc>
      </w:tr>
      <w:tr>
        <w:trPr>
          <w:trHeight w:val="189"/>
        </w:trPr>
        <w:tc>
          <w:tcPr>
            <w:tcW w:w="78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and 48,788,450 shares</w:t>
            </w:r>
          </w:p>
        </w:tc>
        <w:tc>
          <w:tcPr>
            <w:tcW w:w="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80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Common shares of beneficial interest: $0.04 par value per share; authorized 250,000,000 shares; issued and outstanding</w:t>
            </w:r>
          </w:p>
        </w:tc>
        <w:tc>
          <w:tcPr>
            <w:tcW w:w="16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7,627</w:t>
            </w:r>
          </w:p>
        </w:tc>
        <w:tc>
          <w:tcPr>
            <w:tcW w:w="0" w:type="dxa"/>
            <w:vAlign w:val="bottom"/>
          </w:tcPr>
          <w:p>
            <w:pPr>
              <w:spacing w:after="0"/>
              <w:rPr>
                <w:sz w:val="1"/>
                <w:szCs w:val="1"/>
                <w:color w:val="auto"/>
              </w:rPr>
            </w:pPr>
          </w:p>
        </w:tc>
      </w:tr>
      <w:tr>
        <w:trPr>
          <w:trHeight w:val="195"/>
        </w:trPr>
        <w:tc>
          <w:tcPr>
            <w:tcW w:w="7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186,958,059 and 190,666,367 shares</w:t>
            </w:r>
          </w:p>
        </w:tc>
        <w:tc>
          <w:tcPr>
            <w:tcW w:w="160" w:type="dxa"/>
            <w:vAlign w:val="bottom"/>
            <w:shd w:val="clear" w:color="auto" w:fill="CCEEFF"/>
          </w:tcPr>
          <w:p>
            <w:pPr>
              <w:spacing w:after="0"/>
              <w:rPr>
                <w:sz w:val="16"/>
                <w:szCs w:val="16"/>
                <w:color w:val="auto"/>
              </w:rPr>
            </w:pPr>
          </w:p>
        </w:tc>
        <w:tc>
          <w:tcPr>
            <w:tcW w:w="15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Additional capital</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8,297,470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8,288,363</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Earnings less than distributions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(3,678,344)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(3,491,603)</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36,890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5,845,987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5,986,727</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interests in consolidated subsidiaries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173,886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169,845</w:t>
            </w:r>
          </w:p>
        </w:tc>
        <w:tc>
          <w:tcPr>
            <w:tcW w:w="0" w:type="dxa"/>
            <w:vAlign w:val="bottom"/>
          </w:tcPr>
          <w:p>
            <w:pPr>
              <w:spacing w:after="0"/>
              <w:rPr>
                <w:sz w:val="1"/>
                <w:szCs w:val="1"/>
                <w:color w:val="auto"/>
              </w:rPr>
            </w:pPr>
          </w:p>
        </w:tc>
      </w:tr>
      <w:tr>
        <w:trPr>
          <w:trHeight w:val="192"/>
        </w:trPr>
        <w:tc>
          <w:tcPr>
            <w:tcW w:w="7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equity</w:t>
            </w: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6,019,873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6,156,572</w:t>
            </w:r>
          </w:p>
        </w:tc>
        <w:tc>
          <w:tcPr>
            <w:tcW w:w="0" w:type="dxa"/>
            <w:vAlign w:val="bottom"/>
          </w:tcPr>
          <w:p>
            <w:pPr>
              <w:spacing w:after="0"/>
              <w:rPr>
                <w:sz w:val="1"/>
                <w:szCs w:val="1"/>
                <w:color w:val="auto"/>
              </w:rPr>
            </w:pPr>
          </w:p>
        </w:tc>
      </w:tr>
      <w:tr>
        <w:trPr>
          <w:trHeight w:val="192"/>
        </w:trPr>
        <w:tc>
          <w:tcPr>
            <w:tcW w:w="78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15,638,165</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15,521,118</w:t>
            </w:r>
          </w:p>
        </w:tc>
        <w:tc>
          <w:tcPr>
            <w:tcW w:w="0" w:type="dxa"/>
            <w:vAlign w:val="bottom"/>
          </w:tcPr>
          <w:p>
            <w:pPr>
              <w:spacing w:after="0"/>
              <w:rPr>
                <w:sz w:val="1"/>
                <w:szCs w:val="1"/>
                <w:color w:val="auto"/>
              </w:rPr>
            </w:pPr>
          </w:p>
        </w:tc>
      </w:tr>
      <w:tr>
        <w:trPr>
          <w:trHeight w:val="26"/>
        </w:trPr>
        <w:tc>
          <w:tcPr>
            <w:tcW w:w="7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TRUST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share amounts)</w:t>
            </w:r>
          </w:p>
        </w:tc>
        <w:tc>
          <w:tcPr>
            <w:tcW w:w="80" w:type="dxa"/>
            <w:vAlign w:val="bottom"/>
          </w:tcPr>
          <w:p>
            <w:pPr>
              <w:spacing w:after="0"/>
              <w:rPr>
                <w:sz w:val="16"/>
                <w:szCs w:val="16"/>
                <w:color w:val="auto"/>
              </w:rPr>
            </w:pPr>
          </w:p>
        </w:tc>
        <w:tc>
          <w:tcPr>
            <w:tcW w:w="28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20" w:type="dxa"/>
            <w:vAlign w:val="bottom"/>
          </w:tcPr>
          <w:p>
            <w:pPr>
              <w:spacing w:after="0"/>
              <w:rPr>
                <w:sz w:val="16"/>
                <w:szCs w:val="16"/>
                <w:color w:val="auto"/>
              </w:rPr>
            </w:pPr>
          </w:p>
        </w:tc>
        <w:tc>
          <w:tcPr>
            <w:tcW w:w="2740" w:type="dxa"/>
            <w:vAlign w:val="bottom"/>
            <w:gridSpan w:val="4"/>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4"/>
        </w:trPr>
        <w:tc>
          <w:tcPr>
            <w:tcW w:w="54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1"/>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5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Rental 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409,621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389,097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1,213,878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1,176,104</w:t>
            </w:r>
          </w:p>
        </w:tc>
        <w:tc>
          <w:tcPr>
            <w:tcW w:w="0" w:type="dxa"/>
            <w:vAlign w:val="bottom"/>
          </w:tcPr>
          <w:p>
            <w:pPr>
              <w:spacing w:after="0"/>
              <w:rPr>
                <w:sz w:val="1"/>
                <w:szCs w:val="1"/>
                <w:color w:val="auto"/>
              </w:rPr>
            </w:pPr>
          </w:p>
        </w:tc>
      </w:tr>
      <w:tr>
        <w:trPr>
          <w:trHeight w:val="192"/>
        </w:trPr>
        <w:tc>
          <w:tcPr>
            <w:tcW w:w="5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Fee and other income</w:t>
            </w: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58,036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64,603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175,126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180,612</w:t>
            </w:r>
          </w:p>
        </w:tc>
        <w:tc>
          <w:tcPr>
            <w:tcW w:w="0" w:type="dxa"/>
            <w:vAlign w:val="bottom"/>
          </w:tcPr>
          <w:p>
            <w:pPr>
              <w:spacing w:after="0"/>
              <w:rPr>
                <w:sz w:val="1"/>
                <w:szCs w:val="1"/>
                <w:color w:val="auto"/>
              </w:rPr>
            </w:pPr>
          </w:p>
        </w:tc>
      </w:tr>
      <w:tr>
        <w:trPr>
          <w:trHeight w:val="19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467,657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453,700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1,389,004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1,356,716</w:t>
            </w:r>
          </w:p>
        </w:tc>
        <w:tc>
          <w:tcPr>
            <w:tcW w:w="0" w:type="dxa"/>
            <w:vAlign w:val="bottom"/>
          </w:tcPr>
          <w:p>
            <w:pPr>
              <w:spacing w:after="0"/>
              <w:rPr>
                <w:sz w:val="1"/>
                <w:szCs w:val="1"/>
                <w:color w:val="auto"/>
              </w:rPr>
            </w:pPr>
          </w:p>
        </w:tc>
      </w:tr>
      <w:tr>
        <w:trPr>
          <w:trHeight w:val="172"/>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(245,521)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(715,801)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(685,857)</w:t>
            </w:r>
          </w:p>
        </w:tc>
        <w:tc>
          <w:tcPr>
            <w:tcW w:w="0" w:type="dxa"/>
            <w:vAlign w:val="bottom"/>
          </w:tcPr>
          <w:p>
            <w:pPr>
              <w:spacing w:after="0"/>
              <w:rPr>
                <w:sz w:val="1"/>
                <w:szCs w:val="1"/>
                <w:color w:val="auto"/>
              </w:rPr>
            </w:pPr>
          </w:p>
        </w:tc>
      </w:tr>
      <w:tr>
        <w:trPr>
          <w:trHeight w:val="191"/>
        </w:trPr>
        <w:tc>
          <w:tcPr>
            <w:tcW w:w="5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(458,801)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(348,851)</w:t>
            </w:r>
          </w:p>
        </w:tc>
        <w:tc>
          <w:tcPr>
            <w:tcW w:w="0" w:type="dxa"/>
            <w:vAlign w:val="bottom"/>
          </w:tcPr>
          <w:p>
            <w:pPr>
              <w:spacing w:after="0"/>
              <w:rPr>
                <w:sz w:val="1"/>
                <w:szCs w:val="1"/>
                <w:color w:val="auto"/>
              </w:rPr>
            </w:pPr>
          </w:p>
        </w:tc>
      </w:tr>
      <w:tr>
        <w:trPr>
          <w:trHeight w:val="206"/>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(34,705)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(116,050)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(116,065)</w:t>
            </w:r>
          </w:p>
        </w:tc>
        <w:tc>
          <w:tcPr>
            <w:tcW w:w="0" w:type="dxa"/>
            <w:vAlign w:val="bottom"/>
          </w:tcPr>
          <w:p>
            <w:pPr>
              <w:spacing w:after="0"/>
              <w:rPr>
                <w:sz w:val="1"/>
                <w:szCs w:val="1"/>
                <w:color w:val="auto"/>
              </w:rPr>
            </w:pPr>
          </w:p>
        </w:tc>
      </w:tr>
      <w:tr>
        <w:trPr>
          <w:trHeight w:val="191"/>
        </w:trPr>
        <w:tc>
          <w:tcPr>
            <w:tcW w:w="5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(expense) from deferred compensation plan liability</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(8,790)</w:t>
            </w:r>
          </w:p>
        </w:tc>
        <w:tc>
          <w:tcPr>
            <w:tcW w:w="0" w:type="dxa"/>
            <w:vAlign w:val="bottom"/>
          </w:tcPr>
          <w:p>
            <w:pPr>
              <w:spacing w:after="0"/>
              <w:rPr>
                <w:sz w:val="1"/>
                <w:szCs w:val="1"/>
                <w:color w:val="auto"/>
              </w:rPr>
            </w:pPr>
          </w:p>
        </w:tc>
      </w:tr>
      <w:tr>
        <w:trPr>
          <w:trHeight w:val="206"/>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Transaction related costs and other</w:t>
            </w:r>
          </w:p>
        </w:tc>
        <w:tc>
          <w:tcPr>
            <w:tcW w:w="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(4,327)</w:t>
            </w:r>
          </w:p>
        </w:tc>
        <w:tc>
          <w:tcPr>
            <w:tcW w:w="0" w:type="dxa"/>
            <w:vAlign w:val="bottom"/>
          </w:tcPr>
          <w:p>
            <w:pPr>
              <w:spacing w:after="0"/>
              <w:rPr>
                <w:sz w:val="1"/>
                <w:szCs w:val="1"/>
                <w:color w:val="auto"/>
              </w:rPr>
            </w:pPr>
          </w:p>
        </w:tc>
      </w:tr>
      <w:tr>
        <w:trPr>
          <w:trHeight w:val="185"/>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(445,331)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(406,700)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(1,290,711)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(1,163,890)</w:t>
            </w:r>
          </w:p>
        </w:tc>
        <w:tc>
          <w:tcPr>
            <w:tcW w:w="0" w:type="dxa"/>
            <w:vAlign w:val="bottom"/>
          </w:tcPr>
          <w:p>
            <w:pPr>
              <w:spacing w:after="0"/>
              <w:rPr>
                <w:sz w:val="1"/>
                <w:szCs w:val="1"/>
                <w:color w:val="auto"/>
              </w:rPr>
            </w:pPr>
          </w:p>
        </w:tc>
      </w:tr>
      <w:tr>
        <w:trPr>
          <w:trHeight w:val="225"/>
        </w:trPr>
        <w:tc>
          <w:tcPr>
            <w:tcW w:w="5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partially owned entities</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99,335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135,588</w:t>
            </w:r>
          </w:p>
        </w:tc>
        <w:tc>
          <w:tcPr>
            <w:tcW w:w="0" w:type="dxa"/>
            <w:vAlign w:val="bottom"/>
          </w:tcPr>
          <w:p>
            <w:pPr>
              <w:spacing w:after="0"/>
              <w:rPr>
                <w:sz w:val="1"/>
                <w:szCs w:val="1"/>
                <w:color w:val="auto"/>
              </w:rPr>
            </w:pPr>
          </w:p>
        </w:tc>
      </w:tr>
      <w:tr>
        <w:trPr>
          <w:trHeight w:val="191"/>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investment income, net</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41,730</w:t>
            </w:r>
          </w:p>
        </w:tc>
        <w:tc>
          <w:tcPr>
            <w:tcW w:w="0" w:type="dxa"/>
            <w:vAlign w:val="bottom"/>
          </w:tcPr>
          <w:p>
            <w:pPr>
              <w:spacing w:after="0"/>
              <w:rPr>
                <w:sz w:val="1"/>
                <w:szCs w:val="1"/>
                <w:color w:val="auto"/>
              </w:rPr>
            </w:pPr>
          </w:p>
        </w:tc>
      </w:tr>
      <w:tr>
        <w:trPr>
          <w:trHeight w:val="20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 income from deferred compensation plan assets</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8,790</w:t>
            </w:r>
          </w:p>
        </w:tc>
        <w:tc>
          <w:tcPr>
            <w:tcW w:w="0" w:type="dxa"/>
            <w:vAlign w:val="bottom"/>
          </w:tcPr>
          <w:p>
            <w:pPr>
              <w:spacing w:after="0"/>
              <w:rPr>
                <w:sz w:val="1"/>
                <w:szCs w:val="1"/>
                <w:color w:val="auto"/>
              </w:rPr>
            </w:pPr>
          </w:p>
        </w:tc>
      </w:tr>
      <w:tr>
        <w:trPr>
          <w:trHeight w:val="191"/>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debt expense</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(267,502)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(268,204)</w:t>
            </w:r>
          </w:p>
        </w:tc>
        <w:tc>
          <w:tcPr>
            <w:tcW w:w="0" w:type="dxa"/>
            <w:vAlign w:val="bottom"/>
          </w:tcPr>
          <w:p>
            <w:pPr>
              <w:spacing w:after="0"/>
              <w:rPr>
                <w:sz w:val="1"/>
                <w:szCs w:val="1"/>
                <w:color w:val="auto"/>
              </w:rPr>
            </w:pPr>
          </w:p>
        </w:tc>
      </w:tr>
      <w:tr>
        <w:trPr>
          <w:trHeight w:val="20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debt extinguishment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32,073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sales-type lease</w:t>
            </w:r>
          </w:p>
        </w:tc>
        <w:tc>
          <w:tcPr>
            <w:tcW w:w="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803,248</w:t>
            </w:r>
          </w:p>
        </w:tc>
        <w:tc>
          <w:tcPr>
            <w:tcW w:w="0" w:type="dxa"/>
            <w:vAlign w:val="bottom"/>
          </w:tcPr>
          <w:p>
            <w:pPr>
              <w:spacing w:after="0"/>
              <w:rPr>
                <w:sz w:val="1"/>
                <w:szCs w:val="1"/>
                <w:color w:val="auto"/>
              </w:rPr>
            </w:pPr>
          </w:p>
        </w:tc>
      </w:tr>
      <w:tr>
        <w:trPr>
          <w:trHeight w:val="20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gains on disposition of wholly owned and partially owned assets</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24,039</w:t>
            </w:r>
          </w:p>
        </w:tc>
        <w:tc>
          <w:tcPr>
            <w:tcW w:w="0" w:type="dxa"/>
            <w:vAlign w:val="bottom"/>
          </w:tcPr>
          <w:p>
            <w:pPr>
              <w:spacing w:after="0"/>
              <w:rPr>
                <w:sz w:val="1"/>
                <w:szCs w:val="1"/>
                <w:color w:val="auto"/>
              </w:rPr>
            </w:pPr>
          </w:p>
        </w:tc>
      </w:tr>
      <w:tr>
        <w:trPr>
          <w:trHeight w:val="185"/>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(42,296)</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13,650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(15,647)</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938,017</w:t>
            </w:r>
          </w:p>
        </w:tc>
        <w:tc>
          <w:tcPr>
            <w:tcW w:w="0" w:type="dxa"/>
            <w:vAlign w:val="bottom"/>
          </w:tcPr>
          <w:p>
            <w:pPr>
              <w:spacing w:after="0"/>
              <w:rPr>
                <w:sz w:val="1"/>
                <w:szCs w:val="1"/>
                <w:color w:val="auto"/>
              </w:rPr>
            </w:pPr>
          </w:p>
        </w:tc>
      </w:tr>
      <w:tr>
        <w:trPr>
          <w:trHeight w:val="20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(5,727)</w:t>
            </w:r>
          </w:p>
        </w:tc>
        <w:tc>
          <w:tcPr>
            <w:tcW w:w="0" w:type="dxa"/>
            <w:vAlign w:val="bottom"/>
          </w:tcPr>
          <w:p>
            <w:pPr>
              <w:spacing w:after="0"/>
              <w:rPr>
                <w:sz w:val="1"/>
                <w:szCs w:val="1"/>
                <w:color w:val="auto"/>
              </w:rPr>
            </w:pPr>
          </w:p>
        </w:tc>
      </w:tr>
      <w:tr>
        <w:trPr>
          <w:trHeight w:val="185"/>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(28,794)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932,290</w:t>
            </w:r>
          </w:p>
        </w:tc>
        <w:tc>
          <w:tcPr>
            <w:tcW w:w="0" w:type="dxa"/>
            <w:vAlign w:val="bottom"/>
          </w:tcPr>
          <w:p>
            <w:pPr>
              <w:spacing w:after="0"/>
              <w:rPr>
                <w:sz w:val="1"/>
                <w:szCs w:val="1"/>
                <w:color w:val="auto"/>
              </w:rPr>
            </w:pPr>
          </w:p>
        </w:tc>
      </w:tr>
      <w:tr>
        <w:trPr>
          <w:trHeight w:val="20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 in:</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Consolidated subsidiaries</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30,326</w:t>
            </w:r>
          </w:p>
        </w:tc>
        <w:tc>
          <w:tcPr>
            <w:tcW w:w="0" w:type="dxa"/>
            <w:vAlign w:val="bottom"/>
          </w:tcPr>
          <w:p>
            <w:pPr>
              <w:spacing w:after="0"/>
              <w:rPr>
                <w:sz w:val="1"/>
                <w:szCs w:val="1"/>
                <w:color w:val="auto"/>
              </w:rPr>
            </w:pPr>
          </w:p>
        </w:tc>
      </w:tr>
      <w:tr>
        <w:trPr>
          <w:trHeight w:val="206"/>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Partnership</w:t>
            </w:r>
          </w:p>
        </w:tc>
        <w:tc>
          <w:tcPr>
            <w:tcW w:w="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(73,788)</w:t>
            </w:r>
          </w:p>
        </w:tc>
        <w:tc>
          <w:tcPr>
            <w:tcW w:w="0" w:type="dxa"/>
            <w:vAlign w:val="bottom"/>
          </w:tcPr>
          <w:p>
            <w:pPr>
              <w:spacing w:after="0"/>
              <w:rPr>
                <w:sz w:val="1"/>
                <w:szCs w:val="1"/>
                <w:color w:val="auto"/>
              </w:rPr>
            </w:pPr>
          </w:p>
        </w:tc>
      </w:tr>
      <w:tr>
        <w:trPr>
          <w:trHeight w:val="185"/>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Vornado</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888,828</w:t>
            </w:r>
          </w:p>
        </w:tc>
        <w:tc>
          <w:tcPr>
            <w:tcW w:w="0" w:type="dxa"/>
            <w:vAlign w:val="bottom"/>
          </w:tcPr>
          <w:p>
            <w:pPr>
              <w:spacing w:after="0"/>
              <w:rPr>
                <w:sz w:val="1"/>
                <w:szCs w:val="1"/>
                <w:color w:val="auto"/>
              </w:rPr>
            </w:pPr>
          </w:p>
        </w:tc>
      </w:tr>
      <w:tr>
        <w:trPr>
          <w:trHeight w:val="19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 dividends</w:t>
            </w:r>
          </w:p>
        </w:tc>
        <w:tc>
          <w:tcPr>
            <w:tcW w:w="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(46,575)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(46,578)</w:t>
            </w:r>
          </w:p>
        </w:tc>
        <w:tc>
          <w:tcPr>
            <w:tcW w:w="0" w:type="dxa"/>
            <w:vAlign w:val="bottom"/>
          </w:tcPr>
          <w:p>
            <w:pPr>
              <w:spacing w:after="0"/>
              <w:rPr>
                <w:sz w:val="1"/>
                <w:szCs w:val="1"/>
                <w:color w:val="auto"/>
              </w:rPr>
            </w:pPr>
          </w:p>
        </w:tc>
      </w:tr>
      <w:tr>
        <w:trPr>
          <w:trHeight w:val="199"/>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 attributable to common shareholders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(47,138)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11,589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(53,546)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842,250</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(LOSS) INCOME PER COMMON SHARE - BASIC:</w:t>
            </w: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54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 income per common share</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186,822</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192,050</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187,909</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191,804</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(LOSS) INCOME PER COMMON SHARE - DILUTED:</w:t>
            </w: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54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 income per common share</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186,846</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200,150</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187,909</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201,098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TRUST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80" w:type="dxa"/>
            <w:vAlign w:val="bottom"/>
          </w:tcPr>
          <w:p>
            <w:pPr>
              <w:spacing w:after="0"/>
              <w:rPr>
                <w:sz w:val="16"/>
                <w:szCs w:val="16"/>
                <w:color w:val="auto"/>
              </w:rPr>
            </w:pPr>
          </w:p>
        </w:tc>
        <w:tc>
          <w:tcPr>
            <w:tcW w:w="28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20" w:type="dxa"/>
            <w:vAlign w:val="bottom"/>
          </w:tcPr>
          <w:p>
            <w:pPr>
              <w:spacing w:after="0"/>
              <w:rPr>
                <w:sz w:val="16"/>
                <w:szCs w:val="16"/>
                <w:color w:val="auto"/>
              </w:rPr>
            </w:pPr>
          </w:p>
        </w:tc>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4"/>
        </w:trPr>
        <w:tc>
          <w:tcPr>
            <w:tcW w:w="54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4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(45,964)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ind w:left="649"/>
              <w:spacing w:after="0"/>
              <w:rPr>
                <w:sz w:val="20"/>
                <w:szCs w:val="20"/>
                <w:color w:val="auto"/>
              </w:rPr>
            </w:pPr>
            <w:r>
              <w:rPr>
                <w:rFonts w:ascii="Times New Roman" w:cs="Times New Roman" w:eastAsia="Times New Roman" w:hAnsi="Times New Roman"/>
                <w:sz w:val="14"/>
                <w:szCs w:val="14"/>
                <w:color w:val="auto"/>
              </w:rPr>
              <w:t>(28,794)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932,290</w:t>
            </w:r>
          </w:p>
        </w:tc>
      </w:tr>
      <w:tr>
        <w:trPr>
          <w:trHeight w:val="191"/>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6"/>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fair value of consolidated interest rate hedges and other</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rPr>
              <w:t>23,658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(48,183)</w:t>
            </w:r>
          </w:p>
        </w:tc>
      </w:tr>
      <w:tr>
        <w:trPr>
          <w:trHeight w:val="192"/>
        </w:trPr>
        <w:tc>
          <w:tcPr>
            <w:tcW w:w="5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 of nonconsolidated subsidiaries</w:t>
            </w: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669"/>
              <w:spacing w:after="0"/>
              <w:rPr>
                <w:sz w:val="20"/>
                <w:szCs w:val="20"/>
                <w:color w:val="auto"/>
              </w:rPr>
            </w:pPr>
            <w:r>
              <w:rPr>
                <w:rFonts w:ascii="Times New Roman" w:cs="Times New Roman" w:eastAsia="Times New Roman" w:hAnsi="Times New Roman"/>
                <w:sz w:val="14"/>
                <w:szCs w:val="14"/>
                <w:color w:val="auto"/>
              </w:rPr>
              <w:t>16,641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(11,121)</w:t>
            </w:r>
          </w:p>
        </w:tc>
      </w:tr>
      <w:tr>
        <w:trPr>
          <w:trHeight w:val="19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income</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left="689"/>
              <w:spacing w:after="0"/>
              <w:rPr>
                <w:sz w:val="20"/>
                <w:szCs w:val="20"/>
                <w:color w:val="auto"/>
              </w:rPr>
            </w:pPr>
            <w:r>
              <w:rPr>
                <w:rFonts w:ascii="Times New Roman" w:cs="Times New Roman" w:eastAsia="Times New Roman" w:hAnsi="Times New Roman"/>
                <w:sz w:val="14"/>
                <w:szCs w:val="14"/>
                <w:color w:val="auto"/>
                <w:w w:val="98"/>
              </w:rPr>
              <w:t>11,505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872,986</w:t>
            </w:r>
          </w:p>
        </w:tc>
      </w:tr>
      <w:tr>
        <w:trPr>
          <w:trHeight w:val="192"/>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comprehensive loss (income) attributable to noncontrolling interests</w:t>
            </w: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13,334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669"/>
              <w:spacing w:after="0"/>
              <w:rPr>
                <w:sz w:val="20"/>
                <w:szCs w:val="20"/>
                <w:color w:val="auto"/>
              </w:rPr>
            </w:pPr>
            <w:r>
              <w:rPr>
                <w:rFonts w:ascii="Times New Roman" w:cs="Times New Roman" w:eastAsia="Times New Roman" w:hAnsi="Times New Roman"/>
                <w:sz w:val="14"/>
                <w:szCs w:val="14"/>
                <w:color w:val="auto"/>
              </w:rPr>
              <w:t>18,398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(37,856)</w:t>
            </w:r>
          </w:p>
        </w:tc>
      </w:tr>
      <w:tr>
        <w:trPr>
          <w:trHeight w:val="224"/>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income attributable to Vornado</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rPr>
              <w:t>29,903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835,130</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TRUST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(Amounts in thousands)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4"/>
                <w:szCs w:val="14"/>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Non-controlling</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Earnings Less</w:t>
            </w: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1560" w:type="dxa"/>
            <w:vAlign w:val="bottom"/>
            <w:gridSpan w:val="5"/>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Preferred Shares</w:t>
            </w:r>
          </w:p>
        </w:tc>
        <w:tc>
          <w:tcPr>
            <w:tcW w:w="120" w:type="dxa"/>
            <w:vAlign w:val="bottom"/>
            <w:gridSpan w:val="2"/>
            <w:vMerge w:val="restart"/>
          </w:tcPr>
          <w:p>
            <w:pPr>
              <w:spacing w:after="0"/>
              <w:rPr>
                <w:sz w:val="11"/>
                <w:szCs w:val="11"/>
                <w:color w:val="auto"/>
              </w:rPr>
            </w:pPr>
          </w:p>
        </w:tc>
        <w:tc>
          <w:tcPr>
            <w:tcW w:w="1520" w:type="dxa"/>
            <w:vAlign w:val="bottom"/>
            <w:gridSpan w:val="7"/>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3"/>
                <w:szCs w:val="13"/>
                <w:b w:val="1"/>
                <w:bCs w:val="1"/>
                <w:color w:val="auto"/>
              </w:rPr>
              <w:t>Interests in</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520" w:type="dxa"/>
            <w:vAlign w:val="bottom"/>
          </w:tcPr>
          <w:p>
            <w:pPr>
              <w:spacing w:after="0"/>
              <w:rPr>
                <w:sz w:val="9"/>
                <w:szCs w:val="9"/>
                <w:color w:val="auto"/>
              </w:rPr>
            </w:pPr>
          </w:p>
        </w:tc>
        <w:tc>
          <w:tcPr>
            <w:tcW w:w="1560" w:type="dxa"/>
            <w:vAlign w:val="bottom"/>
            <w:tcBorders>
              <w:bottom w:val="single" w:sz="8" w:color="auto"/>
            </w:tcBorders>
            <w:gridSpan w:val="5"/>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1520" w:type="dxa"/>
            <w:vAlign w:val="bottom"/>
            <w:tcBorders>
              <w:bottom w:val="single" w:sz="8" w:color="auto"/>
            </w:tcBorders>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80"/>
              <w:spacing w:after="0" w:line="113"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4"/>
          </w:tcPr>
          <w:p>
            <w:pPr>
              <w:jc w:val="center"/>
              <w:ind w:right="180"/>
              <w:spacing w:after="0" w:line="113" w:lineRule="exact"/>
              <w:rPr>
                <w:sz w:val="20"/>
                <w:szCs w:val="20"/>
                <w:color w:val="auto"/>
              </w:rPr>
            </w:pPr>
            <w:r>
              <w:rPr>
                <w:rFonts w:ascii="Times New Roman" w:cs="Times New Roman" w:eastAsia="Times New Roman" w:hAnsi="Times New Roman"/>
                <w:sz w:val="13"/>
                <w:szCs w:val="13"/>
                <w:b w:val="1"/>
                <w:bCs w:val="1"/>
                <w:color w:val="auto"/>
              </w:rPr>
              <w:t>Than</w:t>
            </w:r>
          </w:p>
        </w:tc>
        <w:tc>
          <w:tcPr>
            <w:tcW w:w="100" w:type="dxa"/>
            <w:vAlign w:val="bottom"/>
          </w:tcPr>
          <w:p>
            <w:pPr>
              <w:spacing w:after="0"/>
              <w:rPr>
                <w:sz w:val="9"/>
                <w:szCs w:val="9"/>
                <w:color w:val="auto"/>
              </w:rPr>
            </w:pPr>
          </w:p>
        </w:tc>
        <w:tc>
          <w:tcPr>
            <w:tcW w:w="114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9"/>
                <w:szCs w:val="9"/>
                <w:color w:val="auto"/>
              </w:rPr>
            </w:pPr>
          </w:p>
        </w:tc>
        <w:tc>
          <w:tcPr>
            <w:tcW w:w="108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2520" w:type="dxa"/>
            <w:vAlign w:val="bottom"/>
          </w:tcPr>
          <w:p>
            <w:pPr>
              <w:spacing w:after="0"/>
              <w:rPr>
                <w:sz w:val="15"/>
                <w:szCs w:val="15"/>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78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Distributions</w:t>
            </w:r>
          </w:p>
        </w:tc>
        <w:tc>
          <w:tcPr>
            <w:tcW w:w="1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0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9"/>
              </w:rPr>
              <w:t>Total Equity</w:t>
            </w:r>
          </w:p>
        </w:tc>
        <w:tc>
          <w:tcPr>
            <w:tcW w:w="0" w:type="dxa"/>
            <w:vAlign w:val="bottom"/>
          </w:tcPr>
          <w:p>
            <w:pPr>
              <w:spacing w:after="0"/>
              <w:rPr>
                <w:sz w:val="1"/>
                <w:szCs w:val="1"/>
                <w:color w:val="auto"/>
              </w:rPr>
            </w:pPr>
          </w:p>
        </w:tc>
      </w:tr>
      <w:tr>
        <w:trPr>
          <w:trHeight w:val="119"/>
        </w:trPr>
        <w:tc>
          <w:tcPr>
            <w:tcW w:w="252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5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48,788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1,182,505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186,721</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7,469</w:t>
            </w:r>
          </w:p>
        </w:tc>
        <w:tc>
          <w:tcPr>
            <w:tcW w:w="2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8,202,784</w:t>
            </w:r>
          </w:p>
        </w:tc>
        <w:tc>
          <w:tcPr>
            <w:tcW w:w="4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(3,631,204)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175,697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5,963,284</w:t>
            </w:r>
          </w:p>
        </w:tc>
        <w:tc>
          <w:tcPr>
            <w:tcW w:w="0" w:type="dxa"/>
            <w:vAlign w:val="bottom"/>
          </w:tcPr>
          <w:p>
            <w:pPr>
              <w:spacing w:after="0"/>
              <w:rPr>
                <w:sz w:val="1"/>
                <w:szCs w:val="1"/>
                <w:color w:val="auto"/>
              </w:rPr>
            </w:pPr>
          </w:p>
        </w:tc>
      </w:tr>
      <w:tr>
        <w:trPr>
          <w:trHeight w:val="179"/>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attributable to Vornado</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(31,613)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(31,613)</w:t>
            </w:r>
          </w:p>
        </w:tc>
        <w:tc>
          <w:tcPr>
            <w:tcW w:w="0" w:type="dxa"/>
            <w:vAlign w:val="bottom"/>
          </w:tcPr>
          <w:p>
            <w:pPr>
              <w:spacing w:after="0"/>
              <w:rPr>
                <w:sz w:val="1"/>
                <w:szCs w:val="1"/>
                <w:color w:val="auto"/>
              </w:rPr>
            </w:pPr>
          </w:p>
        </w:tc>
      </w:tr>
      <w:tr>
        <w:trPr>
          <w:trHeight w:val="139"/>
        </w:trPr>
        <w:tc>
          <w:tcPr>
            <w:tcW w:w="25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Net loss attributable to nonredeemable</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520" w:type="dxa"/>
            <w:vAlign w:val="bottom"/>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noncontrolling interests in consolidated</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4"/>
            <w:vMerge w:val="restart"/>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(2,670)</w:t>
            </w:r>
          </w:p>
        </w:tc>
        <w:tc>
          <w:tcPr>
            <w:tcW w:w="0" w:type="dxa"/>
            <w:vAlign w:val="bottom"/>
          </w:tcPr>
          <w:p>
            <w:pPr>
              <w:spacing w:after="0"/>
              <w:rPr>
                <w:sz w:val="1"/>
                <w:szCs w:val="1"/>
                <w:color w:val="auto"/>
              </w:rPr>
            </w:pPr>
          </w:p>
        </w:tc>
      </w:tr>
      <w:tr>
        <w:trPr>
          <w:trHeight w:val="185"/>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subsidiaries</w:t>
            </w: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4"/>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Dividends on preferred shares (see Note 11</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(15,525)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(15,525)</w:t>
            </w:r>
          </w:p>
        </w:tc>
        <w:tc>
          <w:tcPr>
            <w:tcW w:w="0" w:type="dxa"/>
            <w:vAlign w:val="bottom"/>
          </w:tcPr>
          <w:p>
            <w:pPr>
              <w:spacing w:after="0"/>
              <w:rPr>
                <w:sz w:val="1"/>
                <w:szCs w:val="1"/>
                <w:color w:val="auto"/>
              </w:rPr>
            </w:pPr>
          </w:p>
        </w:tc>
      </w:tr>
      <w:tr>
        <w:trPr>
          <w:trHeight w:val="179"/>
        </w:trPr>
        <w:tc>
          <w:tcPr>
            <w:tcW w:w="2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dividends per share amounts)</w:t>
            </w: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5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Common shares issued upon redemption of</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4"/>
            <w:vMerge w:val="restart"/>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8,948</w:t>
            </w:r>
          </w:p>
        </w:tc>
        <w:tc>
          <w:tcPr>
            <w:tcW w:w="0" w:type="dxa"/>
            <w:vAlign w:val="bottom"/>
          </w:tcPr>
          <w:p>
            <w:pPr>
              <w:spacing w:after="0"/>
              <w:rPr>
                <w:sz w:val="1"/>
                <w:szCs w:val="1"/>
                <w:color w:val="auto"/>
              </w:rPr>
            </w:pPr>
          </w:p>
        </w:tc>
      </w:tr>
      <w:tr>
        <w:trPr>
          <w:trHeight w:val="185"/>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Class A units, at redemption value</w:t>
            </w: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4"/>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Contributions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0" w:type="dxa"/>
            <w:vAlign w:val="bottom"/>
          </w:tcPr>
          <w:p>
            <w:pPr>
              <w:spacing w:after="0"/>
              <w:rPr>
                <w:sz w:val="1"/>
                <w:szCs w:val="1"/>
                <w:color w:val="auto"/>
              </w:rPr>
            </w:pPr>
          </w:p>
        </w:tc>
      </w:tr>
      <w:tr>
        <w:trPr>
          <w:trHeight w:val="192"/>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33"/>
        </w:trPr>
        <w:tc>
          <w:tcPr>
            <w:tcW w:w="2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Conversion of Series A preferred shares to</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vMerge w:val="restart"/>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9"/>
        </w:trPr>
        <w:tc>
          <w:tcPr>
            <w:tcW w:w="2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common shares</w:t>
            </w: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5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Other comprehensive income of</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4"/>
            <w:vMerge w:val="restart"/>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7,337</w:t>
            </w:r>
          </w:p>
        </w:tc>
        <w:tc>
          <w:tcPr>
            <w:tcW w:w="0" w:type="dxa"/>
            <w:vAlign w:val="bottom"/>
          </w:tcPr>
          <w:p>
            <w:pPr>
              <w:spacing w:after="0"/>
              <w:rPr>
                <w:sz w:val="1"/>
                <w:szCs w:val="1"/>
                <w:color w:val="auto"/>
              </w:rPr>
            </w:pPr>
          </w:p>
        </w:tc>
      </w:tr>
      <w:tr>
        <w:trPr>
          <w:trHeight w:val="185"/>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nonconsolidated subsidiaries</w:t>
            </w: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4"/>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Change in fair value of consolidated interest</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vMerge w:val="restart"/>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4,977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4,977</w:t>
            </w:r>
          </w:p>
        </w:tc>
        <w:tc>
          <w:tcPr>
            <w:tcW w:w="0" w:type="dxa"/>
            <w:vAlign w:val="bottom"/>
          </w:tcPr>
          <w:p>
            <w:pPr>
              <w:spacing w:after="0"/>
              <w:rPr>
                <w:sz w:val="1"/>
                <w:szCs w:val="1"/>
                <w:color w:val="auto"/>
              </w:rPr>
            </w:pPr>
          </w:p>
        </w:tc>
      </w:tr>
      <w:tr>
        <w:trPr>
          <w:trHeight w:val="179"/>
        </w:trPr>
        <w:tc>
          <w:tcPr>
            <w:tcW w:w="2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rate hedges and other</w:t>
            </w: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5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Redeemable Class A unit measurement</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85,734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4"/>
            <w:vMerge w:val="restart"/>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85,294</w:t>
            </w:r>
          </w:p>
        </w:tc>
        <w:tc>
          <w:tcPr>
            <w:tcW w:w="0" w:type="dxa"/>
            <w:vAlign w:val="bottom"/>
          </w:tcPr>
          <w:p>
            <w:pPr>
              <w:spacing w:after="0"/>
              <w:rPr>
                <w:sz w:val="1"/>
                <w:szCs w:val="1"/>
                <w:color w:val="auto"/>
              </w:rPr>
            </w:pPr>
          </w:p>
        </w:tc>
      </w:tr>
      <w:tr>
        <w:trPr>
          <w:trHeight w:val="185"/>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adjustment</w:t>
            </w: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4"/>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Other comprehensive income attributable to</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noncontrolling interests in:</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Operating Partnership</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0" w:type="dxa"/>
            <w:vAlign w:val="bottom"/>
          </w:tcPr>
          <w:p>
            <w:pPr>
              <w:spacing w:after="0"/>
              <w:rPr>
                <w:sz w:val="1"/>
                <w:szCs w:val="1"/>
                <w:color w:val="auto"/>
              </w:rPr>
            </w:pPr>
          </w:p>
        </w:tc>
      </w:tr>
      <w:tr>
        <w:trPr>
          <w:trHeight w:val="179"/>
        </w:trPr>
        <w:tc>
          <w:tcPr>
            <w:tcW w:w="25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5"/>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85"/>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September 30, 2026</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48,787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1,182,493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186,958</w:t>
            </w:r>
          </w:p>
        </w:tc>
        <w:tc>
          <w:tcPr>
            <w:tcW w:w="20" w:type="dxa"/>
            <w:vAlign w:val="bottom"/>
          </w:tcPr>
          <w:p>
            <w:pPr>
              <w:spacing w:after="0"/>
              <w:rPr>
                <w:sz w:val="16"/>
                <w:szCs w:val="16"/>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7,478</w:t>
            </w:r>
          </w:p>
        </w:tc>
        <w:tc>
          <w:tcPr>
            <w:tcW w:w="2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8,297,470</w:t>
            </w:r>
          </w:p>
        </w:tc>
        <w:tc>
          <w:tcPr>
            <w:tcW w:w="40" w:type="dxa"/>
            <w:vAlign w:val="bottom"/>
          </w:tcPr>
          <w:p>
            <w:pPr>
              <w:spacing w:after="0"/>
              <w:rPr>
                <w:sz w:val="16"/>
                <w:szCs w:val="16"/>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(3,678,344)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36,890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173,886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6,019,873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2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Earnings Less</w:t>
            </w:r>
          </w:p>
        </w:tc>
        <w:tc>
          <w:tcPr>
            <w:tcW w:w="1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Non-controlling</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540" w:type="dxa"/>
            <w:vAlign w:val="bottom"/>
            <w:gridSpan w:val="4"/>
            <w:vMerge w:val="restart"/>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Preferred Shares</w:t>
            </w:r>
          </w:p>
        </w:tc>
        <w:tc>
          <w:tcPr>
            <w:tcW w:w="100" w:type="dxa"/>
            <w:vAlign w:val="bottom"/>
            <w:gridSpan w:val="2"/>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1500" w:type="dxa"/>
            <w:vAlign w:val="bottom"/>
            <w:gridSpan w:val="6"/>
            <w:vMerge w:val="restart"/>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3"/>
                <w:szCs w:val="13"/>
                <w:b w:val="1"/>
                <w:bCs w:val="1"/>
                <w:color w:val="auto"/>
              </w:rPr>
              <w:t>Interests in</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520" w:type="dxa"/>
            <w:vAlign w:val="bottom"/>
          </w:tcPr>
          <w:p>
            <w:pPr>
              <w:spacing w:after="0"/>
              <w:rPr>
                <w:sz w:val="9"/>
                <w:szCs w:val="9"/>
                <w:color w:val="auto"/>
              </w:rPr>
            </w:pPr>
          </w:p>
        </w:tc>
        <w:tc>
          <w:tcPr>
            <w:tcW w:w="1540" w:type="dxa"/>
            <w:vAlign w:val="bottom"/>
            <w:tcBorders>
              <w:bottom w:val="single" w:sz="8" w:color="auto"/>
            </w:tcBorders>
            <w:gridSpan w:val="4"/>
            <w:vMerge w:val="continue"/>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40" w:type="dxa"/>
            <w:vAlign w:val="bottom"/>
            <w:tcBorders>
              <w:bottom w:val="single" w:sz="8" w:color="auto"/>
            </w:tcBorders>
            <w:vMerge w:val="continue"/>
          </w:tcPr>
          <w:p>
            <w:pPr>
              <w:spacing w:after="0"/>
              <w:rPr>
                <w:sz w:val="9"/>
                <w:szCs w:val="9"/>
                <w:color w:val="auto"/>
              </w:rPr>
            </w:pPr>
          </w:p>
        </w:tc>
        <w:tc>
          <w:tcPr>
            <w:tcW w:w="1500" w:type="dxa"/>
            <w:vAlign w:val="bottom"/>
            <w:tcBorders>
              <w:bottom w:val="single" w:sz="8" w:color="auto"/>
            </w:tcBorders>
            <w:gridSpan w:val="6"/>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160"/>
              <w:spacing w:after="0" w:line="113"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4"/>
          </w:tcPr>
          <w:p>
            <w:pPr>
              <w:jc w:val="center"/>
              <w:ind w:right="220"/>
              <w:spacing w:after="0" w:line="113" w:lineRule="exact"/>
              <w:rPr>
                <w:sz w:val="20"/>
                <w:szCs w:val="20"/>
                <w:color w:val="auto"/>
              </w:rPr>
            </w:pPr>
            <w:r>
              <w:rPr>
                <w:rFonts w:ascii="Times New Roman" w:cs="Times New Roman" w:eastAsia="Times New Roman" w:hAnsi="Times New Roman"/>
                <w:sz w:val="13"/>
                <w:szCs w:val="13"/>
                <w:b w:val="1"/>
                <w:bCs w:val="1"/>
                <w:color w:val="auto"/>
              </w:rPr>
              <w:t>Than</w:t>
            </w:r>
          </w:p>
        </w:tc>
        <w:tc>
          <w:tcPr>
            <w:tcW w:w="100" w:type="dxa"/>
            <w:vAlign w:val="bottom"/>
          </w:tcPr>
          <w:p>
            <w:pPr>
              <w:spacing w:after="0"/>
              <w:rPr>
                <w:sz w:val="9"/>
                <w:szCs w:val="9"/>
                <w:color w:val="auto"/>
              </w:rPr>
            </w:pPr>
          </w:p>
        </w:tc>
        <w:tc>
          <w:tcPr>
            <w:tcW w:w="1140" w:type="dxa"/>
            <w:vAlign w:val="bottom"/>
            <w:gridSpan w:val="2"/>
          </w:tcPr>
          <w:p>
            <w:pPr>
              <w:jc w:val="center"/>
              <w:ind w:right="220"/>
              <w:spacing w:after="0" w:line="113"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9"/>
                <w:szCs w:val="9"/>
                <w:color w:val="auto"/>
              </w:rPr>
            </w:pPr>
          </w:p>
        </w:tc>
        <w:tc>
          <w:tcPr>
            <w:tcW w:w="108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2520" w:type="dxa"/>
            <w:vAlign w:val="bottom"/>
          </w:tcPr>
          <w:p>
            <w:pPr>
              <w:spacing w:after="0"/>
              <w:rPr>
                <w:sz w:val="15"/>
                <w:szCs w:val="15"/>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7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Distributions</w:t>
            </w:r>
          </w:p>
        </w:tc>
        <w:tc>
          <w:tcPr>
            <w:tcW w:w="1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0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9"/>
              </w:rPr>
              <w:t>Total Equity</w:t>
            </w:r>
          </w:p>
        </w:tc>
        <w:tc>
          <w:tcPr>
            <w:tcW w:w="0" w:type="dxa"/>
            <w:vAlign w:val="bottom"/>
          </w:tcPr>
          <w:p>
            <w:pPr>
              <w:spacing w:after="0"/>
              <w:rPr>
                <w:sz w:val="1"/>
                <w:szCs w:val="1"/>
                <w:color w:val="auto"/>
              </w:rPr>
            </w:pPr>
          </w:p>
        </w:tc>
      </w:tr>
      <w:tr>
        <w:trPr>
          <w:trHeight w:val="119"/>
        </w:trPr>
        <w:tc>
          <w:tcPr>
            <w:tcW w:w="252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5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48,789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1,182,364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192,041</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7,682</w:t>
            </w:r>
          </w:p>
        </w:tc>
        <w:tc>
          <w:tcPr>
            <w:tcW w:w="2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8,203,781</w:t>
            </w:r>
          </w:p>
        </w:tc>
        <w:tc>
          <w:tcPr>
            <w:tcW w:w="4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(3,311,586)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9,857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171,863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6,263,961</w:t>
            </w:r>
          </w:p>
        </w:tc>
        <w:tc>
          <w:tcPr>
            <w:tcW w:w="0" w:type="dxa"/>
            <w:vAlign w:val="bottom"/>
          </w:tcPr>
          <w:p>
            <w:pPr>
              <w:spacing w:after="0"/>
              <w:rPr>
                <w:sz w:val="1"/>
                <w:szCs w:val="1"/>
                <w:color w:val="auto"/>
              </w:rPr>
            </w:pPr>
          </w:p>
        </w:tc>
      </w:tr>
      <w:tr>
        <w:trPr>
          <w:trHeight w:val="179"/>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attributable to Vornado</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27,115</w:t>
            </w:r>
          </w:p>
        </w:tc>
        <w:tc>
          <w:tcPr>
            <w:tcW w:w="0" w:type="dxa"/>
            <w:vAlign w:val="bottom"/>
          </w:tcPr>
          <w:p>
            <w:pPr>
              <w:spacing w:after="0"/>
              <w:rPr>
                <w:sz w:val="1"/>
                <w:szCs w:val="1"/>
                <w:color w:val="auto"/>
              </w:rPr>
            </w:pPr>
          </w:p>
        </w:tc>
      </w:tr>
      <w:tr>
        <w:trPr>
          <w:trHeight w:val="139"/>
        </w:trPr>
        <w:tc>
          <w:tcPr>
            <w:tcW w:w="25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Net loss attributable to nonredeemable</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520" w:type="dxa"/>
            <w:vAlign w:val="bottom"/>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noncontrolling interests in consolidated</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w:t>
            </w:r>
          </w:p>
        </w:tc>
        <w:tc>
          <w:tcPr>
            <w:tcW w:w="0" w:type="dxa"/>
            <w:vAlign w:val="bottom"/>
          </w:tcPr>
          <w:p>
            <w:pPr>
              <w:spacing w:after="0"/>
              <w:rPr>
                <w:sz w:val="1"/>
                <w:szCs w:val="1"/>
                <w:color w:val="auto"/>
              </w:rPr>
            </w:pPr>
          </w:p>
        </w:tc>
      </w:tr>
      <w:tr>
        <w:trPr>
          <w:trHeight w:val="185"/>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subsidiaries</w:t>
            </w: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4"/>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Dividends on preferred shares (see Note 11</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(15,526)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(15,526)</w:t>
            </w:r>
          </w:p>
        </w:tc>
        <w:tc>
          <w:tcPr>
            <w:tcW w:w="0" w:type="dxa"/>
            <w:vAlign w:val="bottom"/>
          </w:tcPr>
          <w:p>
            <w:pPr>
              <w:spacing w:after="0"/>
              <w:rPr>
                <w:sz w:val="1"/>
                <w:szCs w:val="1"/>
                <w:color w:val="auto"/>
              </w:rPr>
            </w:pPr>
          </w:p>
        </w:tc>
      </w:tr>
      <w:tr>
        <w:trPr>
          <w:trHeight w:val="179"/>
        </w:trPr>
        <w:tc>
          <w:tcPr>
            <w:tcW w:w="2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dividends per share amounts)</w:t>
            </w: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shares issued:</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520" w:type="dxa"/>
            <w:vAlign w:val="bottom"/>
          </w:tcPr>
          <w:p>
            <w:pPr>
              <w:ind w:left="100"/>
              <w:spacing w:after="0" w:line="133" w:lineRule="exact"/>
              <w:rPr>
                <w:sz w:val="20"/>
                <w:szCs w:val="20"/>
                <w:color w:val="auto"/>
              </w:rPr>
            </w:pPr>
            <w:r>
              <w:rPr>
                <w:rFonts w:ascii="Times New Roman" w:cs="Times New Roman" w:eastAsia="Times New Roman" w:hAnsi="Times New Roman"/>
                <w:sz w:val="13"/>
                <w:szCs w:val="13"/>
                <w:color w:val="auto"/>
              </w:rPr>
              <w:t>Upon redemption of Class A units, at</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0" w:type="dxa"/>
            <w:vAlign w:val="bottom"/>
          </w:tcPr>
          <w:p>
            <w:pPr>
              <w:spacing w:after="0"/>
              <w:rPr>
                <w:sz w:val="1"/>
                <w:szCs w:val="1"/>
                <w:color w:val="auto"/>
              </w:rPr>
            </w:pPr>
          </w:p>
        </w:tc>
      </w:tr>
      <w:tr>
        <w:trPr>
          <w:trHeight w:val="179"/>
        </w:trPr>
        <w:tc>
          <w:tcPr>
            <w:tcW w:w="2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redemption value</w:t>
            </w: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Under employees’ share option plan</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9"/>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9"/>
        </w:trPr>
        <w:tc>
          <w:tcPr>
            <w:tcW w:w="25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Other comprehensive income of</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185"/>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nonconsolidated subsidiaries</w:t>
            </w: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4"/>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Change in fair value of consolidated interest</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(7,041)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(7,041)</w:t>
            </w:r>
          </w:p>
        </w:tc>
        <w:tc>
          <w:tcPr>
            <w:tcW w:w="0" w:type="dxa"/>
            <w:vAlign w:val="bottom"/>
          </w:tcPr>
          <w:p>
            <w:pPr>
              <w:spacing w:after="0"/>
              <w:rPr>
                <w:sz w:val="1"/>
                <w:szCs w:val="1"/>
                <w:color w:val="auto"/>
              </w:rPr>
            </w:pPr>
          </w:p>
        </w:tc>
      </w:tr>
      <w:tr>
        <w:trPr>
          <w:trHeight w:val="179"/>
        </w:trPr>
        <w:tc>
          <w:tcPr>
            <w:tcW w:w="2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rate hedges and other</w:t>
            </w: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5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Redeemable Class A unit measurement</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(32,231)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(32,228)</w:t>
            </w:r>
          </w:p>
        </w:tc>
        <w:tc>
          <w:tcPr>
            <w:tcW w:w="0" w:type="dxa"/>
            <w:vAlign w:val="bottom"/>
          </w:tcPr>
          <w:p>
            <w:pPr>
              <w:spacing w:after="0"/>
              <w:rPr>
                <w:sz w:val="1"/>
                <w:szCs w:val="1"/>
                <w:color w:val="auto"/>
              </w:rPr>
            </w:pPr>
          </w:p>
        </w:tc>
      </w:tr>
      <w:tr>
        <w:trPr>
          <w:trHeight w:val="185"/>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adjustment</w:t>
            </w: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4"/>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5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Other comprehensive loss attributable to</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noncontrolling interests in:</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Operating Partnership</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0" w:type="dxa"/>
            <w:vAlign w:val="bottom"/>
          </w:tcPr>
          <w:p>
            <w:pPr>
              <w:spacing w:after="0"/>
              <w:rPr>
                <w:sz w:val="1"/>
                <w:szCs w:val="1"/>
                <w:color w:val="auto"/>
              </w:rPr>
            </w:pPr>
          </w:p>
        </w:tc>
      </w:tr>
      <w:tr>
        <w:trPr>
          <w:trHeight w:val="179"/>
        </w:trPr>
        <w:tc>
          <w:tcPr>
            <w:tcW w:w="25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85"/>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September 30, 2025</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48,789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1,182,364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192,055</w:t>
            </w:r>
          </w:p>
        </w:tc>
        <w:tc>
          <w:tcPr>
            <w:tcW w:w="20" w:type="dxa"/>
            <w:vAlign w:val="bottom"/>
          </w:tcPr>
          <w:p>
            <w:pPr>
              <w:spacing w:after="0"/>
              <w:rPr>
                <w:sz w:val="16"/>
                <w:szCs w:val="16"/>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7,682</w:t>
            </w:r>
          </w:p>
        </w:tc>
        <w:tc>
          <w:tcPr>
            <w:tcW w:w="20" w:type="dxa"/>
            <w:vAlign w:val="bottom"/>
          </w:tcPr>
          <w:p>
            <w:pPr>
              <w:spacing w:after="0"/>
              <w:rPr>
                <w:sz w:val="16"/>
                <w:szCs w:val="16"/>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8,172,106</w:t>
            </w:r>
          </w:p>
        </w:tc>
        <w:tc>
          <w:tcPr>
            <w:tcW w:w="40" w:type="dxa"/>
            <w:vAlign w:val="bottom"/>
          </w:tcPr>
          <w:p>
            <w:pPr>
              <w:spacing w:after="0"/>
              <w:rPr>
                <w:sz w:val="16"/>
                <w:szCs w:val="16"/>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(3,300,001)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170,202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6,236,326</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TRUST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(Amounts in thousands)</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2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Earnings Less</w:t>
            </w:r>
          </w:p>
        </w:tc>
        <w:tc>
          <w:tcPr>
            <w:tcW w:w="1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7"/>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Preferred Shares</w:t>
            </w:r>
          </w:p>
        </w:tc>
        <w:tc>
          <w:tcPr>
            <w:tcW w:w="100" w:type="dxa"/>
            <w:vAlign w:val="bottom"/>
            <w:gridSpan w:val="2"/>
            <w:vMerge w:val="restart"/>
          </w:tcPr>
          <w:p>
            <w:pPr>
              <w:spacing w:after="0"/>
              <w:rPr>
                <w:sz w:val="11"/>
                <w:szCs w:val="11"/>
                <w:color w:val="auto"/>
              </w:rPr>
            </w:pPr>
          </w:p>
        </w:tc>
        <w:tc>
          <w:tcPr>
            <w:tcW w:w="1540" w:type="dxa"/>
            <w:vAlign w:val="bottom"/>
            <w:gridSpan w:val="7"/>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108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3"/>
                <w:szCs w:val="13"/>
                <w:b w:val="1"/>
                <w:bCs w:val="1"/>
                <w:color w:val="auto"/>
              </w:rPr>
              <w:t>Interests in</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Borders>
              <w:bottom w:val="single" w:sz="8" w:color="auto"/>
            </w:tcBorders>
            <w:gridSpan w:val="7"/>
            <w:vMerge w:val="continue"/>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1540" w:type="dxa"/>
            <w:vAlign w:val="bottom"/>
            <w:tcBorders>
              <w:bottom w:val="single" w:sz="8" w:color="auto"/>
            </w:tcBorders>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80"/>
              <w:spacing w:after="0" w:line="113"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3"/>
                <w:szCs w:val="13"/>
                <w:b w:val="1"/>
                <w:bCs w:val="1"/>
                <w:color w:val="auto"/>
              </w:rPr>
              <w:t>Than</w:t>
            </w:r>
          </w:p>
        </w:tc>
        <w:tc>
          <w:tcPr>
            <w:tcW w:w="120" w:type="dxa"/>
            <w:vAlign w:val="bottom"/>
          </w:tcPr>
          <w:p>
            <w:pPr>
              <w:spacing w:after="0"/>
              <w:rPr>
                <w:sz w:val="9"/>
                <w:szCs w:val="9"/>
                <w:color w:val="auto"/>
              </w:rPr>
            </w:pPr>
          </w:p>
        </w:tc>
        <w:tc>
          <w:tcPr>
            <w:tcW w:w="1140" w:type="dxa"/>
            <w:vAlign w:val="bottom"/>
            <w:gridSpan w:val="2"/>
          </w:tcPr>
          <w:p>
            <w:pPr>
              <w:jc w:val="center"/>
              <w:ind w:right="220"/>
              <w:spacing w:after="0" w:line="113"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9"/>
                <w:szCs w:val="9"/>
                <w:color w:val="auto"/>
              </w:rPr>
            </w:pPr>
          </w:p>
        </w:tc>
        <w:tc>
          <w:tcPr>
            <w:tcW w:w="108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Distributions</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8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0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9"/>
              </w:rPr>
              <w:t>Total Equity</w:t>
            </w:r>
          </w:p>
        </w:tc>
        <w:tc>
          <w:tcPr>
            <w:tcW w:w="0" w:type="dxa"/>
            <w:vAlign w:val="bottom"/>
          </w:tcPr>
          <w:p>
            <w:pPr>
              <w:spacing w:after="0"/>
              <w:rPr>
                <w:sz w:val="1"/>
                <w:szCs w:val="1"/>
                <w:color w:val="auto"/>
              </w:rPr>
            </w:pPr>
          </w:p>
        </w:tc>
      </w:tr>
      <w:tr>
        <w:trPr>
          <w:trHeight w:val="119"/>
        </w:trPr>
        <w:tc>
          <w:tcPr>
            <w:tcW w:w="250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For the Nine Months Ended September</w:t>
            </w:r>
          </w:p>
        </w:tc>
        <w:tc>
          <w:tcPr>
            <w:tcW w:w="6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30, 2026:</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48,788</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1,182,345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190,666</w:t>
            </w:r>
          </w:p>
        </w:tc>
        <w:tc>
          <w:tcPr>
            <w:tcW w:w="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7,627</w:t>
            </w:r>
          </w:p>
        </w:tc>
        <w:tc>
          <w:tcPr>
            <w:tcW w:w="2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8,288,363</w:t>
            </w:r>
          </w:p>
        </w:tc>
        <w:tc>
          <w:tcPr>
            <w:tcW w:w="2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(3,491,603)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169,845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6,156,572</w:t>
            </w:r>
          </w:p>
        </w:tc>
        <w:tc>
          <w:tcPr>
            <w:tcW w:w="0" w:type="dxa"/>
            <w:vAlign w:val="bottom"/>
          </w:tcPr>
          <w:p>
            <w:pPr>
              <w:spacing w:after="0"/>
              <w:rPr>
                <w:sz w:val="1"/>
                <w:szCs w:val="1"/>
                <w:color w:val="auto"/>
              </w:rPr>
            </w:pPr>
          </w:p>
        </w:tc>
      </w:tr>
      <w:tr>
        <w:trPr>
          <w:trHeight w:val="17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 attributable to Vornado</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(6,971)</w:t>
            </w:r>
          </w:p>
        </w:tc>
        <w:tc>
          <w:tcPr>
            <w:tcW w:w="0" w:type="dxa"/>
            <w:vAlign w:val="bottom"/>
          </w:tcPr>
          <w:p>
            <w:pPr>
              <w:spacing w:after="0"/>
              <w:rPr>
                <w:sz w:val="1"/>
                <w:szCs w:val="1"/>
                <w:color w:val="auto"/>
              </w:rPr>
            </w:pPr>
          </w:p>
        </w:tc>
      </w:tr>
      <w:tr>
        <w:trPr>
          <w:trHeight w:val="139"/>
        </w:trPr>
        <w:tc>
          <w:tcPr>
            <w:tcW w:w="2500" w:type="dxa"/>
            <w:vAlign w:val="bottom"/>
            <w:gridSpan w:val="2"/>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Net income attributable to nonredeemable</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500" w:type="dxa"/>
            <w:vAlign w:val="bottom"/>
            <w:gridSpan w:val="2"/>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noncontrolling interests in consolidated</w:t>
            </w: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4,610</w:t>
            </w:r>
          </w:p>
        </w:tc>
        <w:tc>
          <w:tcPr>
            <w:tcW w:w="0" w:type="dxa"/>
            <w:vAlign w:val="bottom"/>
          </w:tcPr>
          <w:p>
            <w:pPr>
              <w:spacing w:after="0"/>
              <w:rPr>
                <w:sz w:val="1"/>
                <w:szCs w:val="1"/>
                <w:color w:val="auto"/>
              </w:rPr>
            </w:pPr>
          </w:p>
        </w:tc>
      </w:tr>
      <w:tr>
        <w:trPr>
          <w:trHeight w:val="185"/>
        </w:trPr>
        <w:tc>
          <w:tcPr>
            <w:tcW w:w="2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subsidiaries</w:t>
            </w: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4"/>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5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Dividends on preferred shares (see Note 11</w:t>
            </w: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(46,575)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(46,575)</w:t>
            </w:r>
          </w:p>
        </w:tc>
        <w:tc>
          <w:tcPr>
            <w:tcW w:w="0" w:type="dxa"/>
            <w:vAlign w:val="bottom"/>
          </w:tcPr>
          <w:p>
            <w:pPr>
              <w:spacing w:after="0"/>
              <w:rPr>
                <w:sz w:val="1"/>
                <w:szCs w:val="1"/>
                <w:color w:val="auto"/>
              </w:rPr>
            </w:pPr>
          </w:p>
        </w:tc>
      </w:tr>
      <w:tr>
        <w:trPr>
          <w:trHeight w:val="179"/>
        </w:trPr>
        <w:tc>
          <w:tcPr>
            <w:tcW w:w="25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for dividends per share amounts)</w:t>
            </w: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500" w:type="dxa"/>
            <w:vAlign w:val="bottom"/>
            <w:gridSpan w:val="2"/>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Common shares issued upon redemption of</w:t>
            </w: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25,902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25,935</w:t>
            </w:r>
          </w:p>
        </w:tc>
        <w:tc>
          <w:tcPr>
            <w:tcW w:w="0" w:type="dxa"/>
            <w:vAlign w:val="bottom"/>
          </w:tcPr>
          <w:p>
            <w:pPr>
              <w:spacing w:after="0"/>
              <w:rPr>
                <w:sz w:val="1"/>
                <w:szCs w:val="1"/>
                <w:color w:val="auto"/>
              </w:rPr>
            </w:pPr>
          </w:p>
        </w:tc>
      </w:tr>
      <w:tr>
        <w:trPr>
          <w:trHeight w:val="185"/>
        </w:trPr>
        <w:tc>
          <w:tcPr>
            <w:tcW w:w="2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Class A units, at redemption value</w:t>
            </w: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4"/>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Contributions</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0" w:type="dxa"/>
            <w:vAlign w:val="bottom"/>
          </w:tcPr>
          <w:p>
            <w:pPr>
              <w:spacing w:after="0"/>
              <w:rPr>
                <w:sz w:val="1"/>
                <w:szCs w:val="1"/>
                <w:color w:val="auto"/>
              </w:rPr>
            </w:pPr>
          </w:p>
        </w:tc>
      </w:tr>
      <w:tr>
        <w:trPr>
          <w:trHeight w:val="192"/>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(1,556)</w:t>
            </w:r>
          </w:p>
        </w:tc>
        <w:tc>
          <w:tcPr>
            <w:tcW w:w="0" w:type="dxa"/>
            <w:vAlign w:val="bottom"/>
          </w:tcPr>
          <w:p>
            <w:pPr>
              <w:spacing w:after="0"/>
              <w:rPr>
                <w:sz w:val="1"/>
                <w:szCs w:val="1"/>
                <w:color w:val="auto"/>
              </w:rPr>
            </w:pPr>
          </w:p>
        </w:tc>
      </w:tr>
      <w:tr>
        <w:trPr>
          <w:trHeight w:val="17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Repurchase of common shares</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(4,533)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(133,396)</w:t>
            </w:r>
          </w:p>
        </w:tc>
        <w:tc>
          <w:tcPr>
            <w:tcW w:w="0" w:type="dxa"/>
            <w:vAlign w:val="bottom"/>
          </w:tcPr>
          <w:p>
            <w:pPr>
              <w:spacing w:after="0"/>
              <w:rPr>
                <w:sz w:val="1"/>
                <w:szCs w:val="1"/>
                <w:color w:val="auto"/>
              </w:rPr>
            </w:pPr>
          </w:p>
        </w:tc>
      </w:tr>
      <w:tr>
        <w:trPr>
          <w:trHeight w:val="139"/>
        </w:trPr>
        <w:tc>
          <w:tcPr>
            <w:tcW w:w="2500" w:type="dxa"/>
            <w:vAlign w:val="bottom"/>
            <w:gridSpan w:val="2"/>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Conversion of Series A preferred shares to</w:t>
            </w: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5"/>
        </w:trPr>
        <w:tc>
          <w:tcPr>
            <w:tcW w:w="2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common shares</w:t>
            </w: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5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Other comprehensive income of</w:t>
            </w: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16,641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16,641</w:t>
            </w:r>
          </w:p>
        </w:tc>
        <w:tc>
          <w:tcPr>
            <w:tcW w:w="0" w:type="dxa"/>
            <w:vAlign w:val="bottom"/>
          </w:tcPr>
          <w:p>
            <w:pPr>
              <w:spacing w:after="0"/>
              <w:rPr>
                <w:sz w:val="1"/>
                <w:szCs w:val="1"/>
                <w:color w:val="auto"/>
              </w:rPr>
            </w:pPr>
          </w:p>
        </w:tc>
      </w:tr>
      <w:tr>
        <w:trPr>
          <w:trHeight w:val="179"/>
        </w:trPr>
        <w:tc>
          <w:tcPr>
            <w:tcW w:w="25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nonconsolidated subsidiaries</w:t>
            </w: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500" w:type="dxa"/>
            <w:vAlign w:val="bottom"/>
            <w:gridSpan w:val="2"/>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Change in fair value of consolidated interest</w:t>
            </w: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23,658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23,658</w:t>
            </w:r>
          </w:p>
        </w:tc>
        <w:tc>
          <w:tcPr>
            <w:tcW w:w="0" w:type="dxa"/>
            <w:vAlign w:val="bottom"/>
          </w:tcPr>
          <w:p>
            <w:pPr>
              <w:spacing w:after="0"/>
              <w:rPr>
                <w:sz w:val="1"/>
                <w:szCs w:val="1"/>
                <w:color w:val="auto"/>
              </w:rPr>
            </w:pPr>
          </w:p>
        </w:tc>
      </w:tr>
      <w:tr>
        <w:trPr>
          <w:trHeight w:val="185"/>
        </w:trPr>
        <w:tc>
          <w:tcPr>
            <w:tcW w:w="2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rate hedges and other</w:t>
            </w: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4"/>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5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Redeemable Class A unit measurement</w:t>
            </w: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(16,824)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(16,803)</w:t>
            </w:r>
          </w:p>
        </w:tc>
        <w:tc>
          <w:tcPr>
            <w:tcW w:w="0" w:type="dxa"/>
            <w:vAlign w:val="bottom"/>
          </w:tcPr>
          <w:p>
            <w:pPr>
              <w:spacing w:after="0"/>
              <w:rPr>
                <w:sz w:val="1"/>
                <w:szCs w:val="1"/>
                <w:color w:val="auto"/>
              </w:rPr>
            </w:pPr>
          </w:p>
        </w:tc>
      </w:tr>
      <w:tr>
        <w:trPr>
          <w:trHeight w:val="179"/>
        </w:trPr>
        <w:tc>
          <w:tcPr>
            <w:tcW w:w="25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adjustment</w:t>
            </w: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500" w:type="dxa"/>
            <w:vAlign w:val="bottom"/>
            <w:gridSpan w:val="2"/>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Other comprehensive income attributable to</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noncontrolling interests in:</w:t>
            </w: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5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Operating Partnership</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(3,292)</w:t>
            </w:r>
          </w:p>
        </w:tc>
        <w:tc>
          <w:tcPr>
            <w:tcW w:w="0" w:type="dxa"/>
            <w:vAlign w:val="bottom"/>
          </w:tcPr>
          <w:p>
            <w:pPr>
              <w:spacing w:after="0"/>
              <w:rPr>
                <w:sz w:val="1"/>
                <w:szCs w:val="1"/>
                <w:color w:val="auto"/>
              </w:rPr>
            </w:pPr>
          </w:p>
        </w:tc>
      </w:tr>
      <w:tr>
        <w:trPr>
          <w:trHeight w:val="192"/>
        </w:trPr>
        <w:tc>
          <w:tcPr>
            <w:tcW w:w="2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9"/>
        </w:trPr>
        <w:tc>
          <w:tcPr>
            <w:tcW w:w="2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0" w:type="dxa"/>
            <w:vAlign w:val="bottom"/>
          </w:tcPr>
          <w:p>
            <w:pPr>
              <w:spacing w:after="0"/>
              <w:rPr>
                <w:sz w:val="1"/>
                <w:szCs w:val="1"/>
                <w:color w:val="auto"/>
              </w:rPr>
            </w:pPr>
          </w:p>
        </w:tc>
      </w:tr>
      <w:tr>
        <w:trPr>
          <w:trHeight w:val="205"/>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September 30, 2026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48,787</w:t>
            </w: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1,182,493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186,958</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7,478</w:t>
            </w:r>
          </w:p>
        </w:tc>
        <w:tc>
          <w:tcPr>
            <w:tcW w:w="2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8,297,470</w:t>
            </w:r>
          </w:p>
        </w:tc>
        <w:tc>
          <w:tcPr>
            <w:tcW w:w="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(3,678,344)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36,890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173,886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6,019,873</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2"/>
        </w:trPr>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Earnings Less</w:t>
            </w:r>
          </w:p>
        </w:tc>
        <w:tc>
          <w:tcPr>
            <w:tcW w:w="12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24"/>
                <w:szCs w:val="24"/>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6"/>
            <w:vMerge w:val="restart"/>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Preferred Shares</w:t>
            </w:r>
          </w:p>
        </w:tc>
        <w:tc>
          <w:tcPr>
            <w:tcW w:w="120" w:type="dxa"/>
            <w:vAlign w:val="bottom"/>
            <w:gridSpan w:val="2"/>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520" w:type="dxa"/>
            <w:vAlign w:val="bottom"/>
            <w:gridSpan w:val="6"/>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1"/>
                <w:szCs w:val="11"/>
                <w:color w:val="auto"/>
              </w:rPr>
            </w:pPr>
          </w:p>
        </w:tc>
        <w:tc>
          <w:tcPr>
            <w:tcW w:w="108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3"/>
                <w:szCs w:val="13"/>
                <w:b w:val="1"/>
                <w:bCs w:val="1"/>
                <w:color w:val="auto"/>
              </w:rPr>
              <w:t>Interests in</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4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gridSpan w:val="6"/>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20" w:type="dxa"/>
            <w:vAlign w:val="bottom"/>
            <w:tcBorders>
              <w:bottom w:val="single" w:sz="8" w:color="auto"/>
            </w:tcBorders>
            <w:vMerge w:val="continue"/>
          </w:tcPr>
          <w:p>
            <w:pPr>
              <w:spacing w:after="0"/>
              <w:rPr>
                <w:sz w:val="9"/>
                <w:szCs w:val="9"/>
                <w:color w:val="auto"/>
              </w:rPr>
            </w:pPr>
          </w:p>
        </w:tc>
        <w:tc>
          <w:tcPr>
            <w:tcW w:w="1520" w:type="dxa"/>
            <w:vAlign w:val="bottom"/>
            <w:tcBorders>
              <w:bottom w:val="single" w:sz="8" w:color="auto"/>
            </w:tcBorders>
            <w:gridSpan w:val="6"/>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ind w:left="240"/>
              <w:spacing w:after="0" w:line="113" w:lineRule="exact"/>
              <w:rPr>
                <w:sz w:val="20"/>
                <w:szCs w:val="20"/>
                <w:color w:val="auto"/>
              </w:rPr>
            </w:pPr>
            <w:r>
              <w:rPr>
                <w:rFonts w:ascii="Times New Roman" w:cs="Times New Roman" w:eastAsia="Times New Roman" w:hAnsi="Times New Roman"/>
                <w:sz w:val="13"/>
                <w:szCs w:val="13"/>
                <w:b w:val="1"/>
                <w:bCs w:val="1"/>
                <w:color w:val="auto"/>
              </w:rPr>
              <w:t>Than</w:t>
            </w:r>
          </w:p>
        </w:tc>
        <w:tc>
          <w:tcPr>
            <w:tcW w:w="120" w:type="dxa"/>
            <w:vAlign w:val="bottom"/>
          </w:tcPr>
          <w:p>
            <w:pPr>
              <w:spacing w:after="0"/>
              <w:rPr>
                <w:sz w:val="9"/>
                <w:szCs w:val="9"/>
                <w:color w:val="auto"/>
              </w:rPr>
            </w:pPr>
          </w:p>
        </w:tc>
        <w:tc>
          <w:tcPr>
            <w:tcW w:w="1140" w:type="dxa"/>
            <w:vAlign w:val="bottom"/>
            <w:gridSpan w:val="2"/>
          </w:tcPr>
          <w:p>
            <w:pPr>
              <w:jc w:val="center"/>
              <w:ind w:right="220"/>
              <w:spacing w:after="0" w:line="113"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9"/>
                <w:szCs w:val="9"/>
                <w:color w:val="auto"/>
              </w:rPr>
            </w:pPr>
          </w:p>
        </w:tc>
        <w:tc>
          <w:tcPr>
            <w:tcW w:w="108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Distributions</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8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00" w:type="dxa"/>
            <w:vAlign w:val="bottom"/>
          </w:tcPr>
          <w:p>
            <w:pPr>
              <w:spacing w:after="0"/>
              <w:rPr>
                <w:sz w:val="15"/>
                <w:szCs w:val="15"/>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9"/>
              </w:rPr>
              <w:t>Total Equity</w:t>
            </w:r>
          </w:p>
        </w:tc>
        <w:tc>
          <w:tcPr>
            <w:tcW w:w="0" w:type="dxa"/>
            <w:vAlign w:val="bottom"/>
          </w:tcPr>
          <w:p>
            <w:pPr>
              <w:spacing w:after="0"/>
              <w:rPr>
                <w:sz w:val="1"/>
                <w:szCs w:val="1"/>
                <w:color w:val="auto"/>
              </w:rPr>
            </w:pPr>
          </w:p>
        </w:tc>
      </w:tr>
      <w:tr>
        <w:trPr>
          <w:trHeight w:val="119"/>
        </w:trPr>
        <w:tc>
          <w:tcPr>
            <w:tcW w:w="248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For the Nine Months Ended September</w:t>
            </w:r>
          </w:p>
        </w:tc>
        <w:tc>
          <w:tcPr>
            <w:tcW w:w="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30, 2025:</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48,789</w:t>
            </w: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1,182,364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190,847</w:t>
            </w:r>
          </w:p>
        </w:tc>
        <w:tc>
          <w:tcPr>
            <w:tcW w:w="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7,634</w:t>
            </w:r>
          </w:p>
        </w:tc>
        <w:tc>
          <w:tcPr>
            <w:tcW w:w="2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8,052,793</w:t>
            </w:r>
          </w:p>
        </w:tc>
        <w:tc>
          <w:tcPr>
            <w:tcW w:w="2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(4,142,249)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57,700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178,969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5,337,211</w:t>
            </w:r>
          </w:p>
        </w:tc>
        <w:tc>
          <w:tcPr>
            <w:tcW w:w="0" w:type="dxa"/>
            <w:vAlign w:val="bottom"/>
          </w:tcPr>
          <w:p>
            <w:pPr>
              <w:spacing w:after="0"/>
              <w:rPr>
                <w:sz w:val="1"/>
                <w:szCs w:val="1"/>
                <w:color w:val="auto"/>
              </w:rPr>
            </w:pPr>
          </w:p>
        </w:tc>
      </w:tr>
      <w:tr>
        <w:trPr>
          <w:trHeight w:val="17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 attributable to Vornado</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888,828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888,828</w:t>
            </w:r>
          </w:p>
        </w:tc>
        <w:tc>
          <w:tcPr>
            <w:tcW w:w="0" w:type="dxa"/>
            <w:vAlign w:val="bottom"/>
          </w:tcPr>
          <w:p>
            <w:pPr>
              <w:spacing w:after="0"/>
              <w:rPr>
                <w:sz w:val="1"/>
                <w:szCs w:val="1"/>
                <w:color w:val="auto"/>
              </w:rPr>
            </w:pPr>
          </w:p>
        </w:tc>
      </w:tr>
      <w:tr>
        <w:trPr>
          <w:trHeight w:val="139"/>
        </w:trPr>
        <w:tc>
          <w:tcPr>
            <w:tcW w:w="2500" w:type="dxa"/>
            <w:vAlign w:val="bottom"/>
            <w:gridSpan w:val="2"/>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Net loss attributable to nonredeemable</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500" w:type="dxa"/>
            <w:vAlign w:val="bottom"/>
            <w:gridSpan w:val="2"/>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noncontrolling interests in consolidated</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(8,131)</w:t>
            </w:r>
          </w:p>
        </w:tc>
        <w:tc>
          <w:tcPr>
            <w:tcW w:w="0" w:type="dxa"/>
            <w:vAlign w:val="bottom"/>
          </w:tcPr>
          <w:p>
            <w:pPr>
              <w:spacing w:after="0"/>
              <w:rPr>
                <w:sz w:val="1"/>
                <w:szCs w:val="1"/>
                <w:color w:val="auto"/>
              </w:rPr>
            </w:pPr>
          </w:p>
        </w:tc>
      </w:tr>
      <w:tr>
        <w:trPr>
          <w:trHeight w:val="185"/>
        </w:trPr>
        <w:tc>
          <w:tcPr>
            <w:tcW w:w="2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subsidiaries</w:t>
            </w: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4"/>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5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Dividends on preferred shares (see Note 11</w:t>
            </w: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(46,578)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(46,578)</w:t>
            </w:r>
          </w:p>
        </w:tc>
        <w:tc>
          <w:tcPr>
            <w:tcW w:w="0" w:type="dxa"/>
            <w:vAlign w:val="bottom"/>
          </w:tcPr>
          <w:p>
            <w:pPr>
              <w:spacing w:after="0"/>
              <w:rPr>
                <w:sz w:val="1"/>
                <w:szCs w:val="1"/>
                <w:color w:val="auto"/>
              </w:rPr>
            </w:pPr>
          </w:p>
        </w:tc>
      </w:tr>
      <w:tr>
        <w:trPr>
          <w:trHeight w:val="179"/>
        </w:trPr>
        <w:tc>
          <w:tcPr>
            <w:tcW w:w="25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for dividends per share amounts)</w:t>
            </w: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shares issued:</w:t>
            </w: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50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3"/>
                <w:szCs w:val="13"/>
                <w:color w:val="auto"/>
              </w:rPr>
              <w:t>Upon redemption of Class A units, at</w:t>
            </w: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1,207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49,081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49,129</w:t>
            </w:r>
          </w:p>
        </w:tc>
        <w:tc>
          <w:tcPr>
            <w:tcW w:w="0" w:type="dxa"/>
            <w:vAlign w:val="bottom"/>
          </w:tcPr>
          <w:p>
            <w:pPr>
              <w:spacing w:after="0"/>
              <w:rPr>
                <w:sz w:val="1"/>
                <w:szCs w:val="1"/>
                <w:color w:val="auto"/>
              </w:rPr>
            </w:pPr>
          </w:p>
        </w:tc>
      </w:tr>
      <w:tr>
        <w:trPr>
          <w:trHeight w:val="179"/>
        </w:trPr>
        <w:tc>
          <w:tcPr>
            <w:tcW w:w="25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redemption value</w:t>
            </w: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Under employees’ share option plan</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7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Contributions</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w:t>
            </w:r>
          </w:p>
        </w:tc>
        <w:tc>
          <w:tcPr>
            <w:tcW w:w="0" w:type="dxa"/>
            <w:vAlign w:val="bottom"/>
          </w:tcPr>
          <w:p>
            <w:pPr>
              <w:spacing w:after="0"/>
              <w:rPr>
                <w:sz w:val="1"/>
                <w:szCs w:val="1"/>
                <w:color w:val="auto"/>
              </w:rPr>
            </w:pPr>
          </w:p>
        </w:tc>
      </w:tr>
      <w:tr>
        <w:trPr>
          <w:trHeight w:val="192"/>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0" w:type="dxa"/>
            <w:vAlign w:val="bottom"/>
          </w:tcPr>
          <w:p>
            <w:pPr>
              <w:spacing w:after="0"/>
              <w:rPr>
                <w:sz w:val="1"/>
                <w:szCs w:val="1"/>
                <w:color w:val="auto"/>
              </w:rPr>
            </w:pPr>
          </w:p>
        </w:tc>
      </w:tr>
      <w:tr>
        <w:trPr>
          <w:trHeight w:val="133"/>
        </w:trPr>
        <w:tc>
          <w:tcPr>
            <w:tcW w:w="25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Other comprehensive loss of</w:t>
            </w: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(11,121)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(11,121)</w:t>
            </w:r>
          </w:p>
        </w:tc>
        <w:tc>
          <w:tcPr>
            <w:tcW w:w="0" w:type="dxa"/>
            <w:vAlign w:val="bottom"/>
          </w:tcPr>
          <w:p>
            <w:pPr>
              <w:spacing w:after="0"/>
              <w:rPr>
                <w:sz w:val="1"/>
                <w:szCs w:val="1"/>
                <w:color w:val="auto"/>
              </w:rPr>
            </w:pPr>
          </w:p>
        </w:tc>
      </w:tr>
      <w:tr>
        <w:trPr>
          <w:trHeight w:val="179"/>
        </w:trPr>
        <w:tc>
          <w:tcPr>
            <w:tcW w:w="25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nonconsolidated subsidiaries</w:t>
            </w: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500" w:type="dxa"/>
            <w:vAlign w:val="bottom"/>
            <w:gridSpan w:val="2"/>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Change in fair value of consolidated</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(48,183)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(48,183)</w:t>
            </w:r>
          </w:p>
        </w:tc>
        <w:tc>
          <w:tcPr>
            <w:tcW w:w="0" w:type="dxa"/>
            <w:vAlign w:val="bottom"/>
          </w:tcPr>
          <w:p>
            <w:pPr>
              <w:spacing w:after="0"/>
              <w:rPr>
                <w:sz w:val="1"/>
                <w:szCs w:val="1"/>
                <w:color w:val="auto"/>
              </w:rPr>
            </w:pPr>
          </w:p>
        </w:tc>
      </w:tr>
      <w:tr>
        <w:trPr>
          <w:trHeight w:val="185"/>
        </w:trPr>
        <w:tc>
          <w:tcPr>
            <w:tcW w:w="2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interest rate hedges and other</w:t>
            </w: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4"/>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50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Redeemable Class A unit measurement</w:t>
            </w: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70,191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70,160</w:t>
            </w:r>
          </w:p>
        </w:tc>
        <w:tc>
          <w:tcPr>
            <w:tcW w:w="0" w:type="dxa"/>
            <w:vAlign w:val="bottom"/>
          </w:tcPr>
          <w:p>
            <w:pPr>
              <w:spacing w:after="0"/>
              <w:rPr>
                <w:sz w:val="1"/>
                <w:szCs w:val="1"/>
                <w:color w:val="auto"/>
              </w:rPr>
            </w:pPr>
          </w:p>
        </w:tc>
      </w:tr>
      <w:tr>
        <w:trPr>
          <w:trHeight w:val="179"/>
        </w:trPr>
        <w:tc>
          <w:tcPr>
            <w:tcW w:w="25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adjustment</w:t>
            </w: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500" w:type="dxa"/>
            <w:vAlign w:val="bottom"/>
            <w:gridSpan w:val="2"/>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Other comprehensive loss attributable to</w:t>
            </w: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noncontrolling interests in:</w:t>
            </w: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5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Operating Partnership</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4,780</w:t>
            </w:r>
          </w:p>
        </w:tc>
        <w:tc>
          <w:tcPr>
            <w:tcW w:w="0" w:type="dxa"/>
            <w:vAlign w:val="bottom"/>
          </w:tcPr>
          <w:p>
            <w:pPr>
              <w:spacing w:after="0"/>
              <w:rPr>
                <w:sz w:val="1"/>
                <w:szCs w:val="1"/>
                <w:color w:val="auto"/>
              </w:rPr>
            </w:pPr>
          </w:p>
        </w:tc>
      </w:tr>
      <w:tr>
        <w:trPr>
          <w:trHeight w:val="192"/>
        </w:trPr>
        <w:tc>
          <w:tcPr>
            <w:tcW w:w="2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9"/>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0" w:type="dxa"/>
            <w:vAlign w:val="bottom"/>
          </w:tcPr>
          <w:p>
            <w:pPr>
              <w:spacing w:after="0"/>
              <w:rPr>
                <w:sz w:val="1"/>
                <w:szCs w:val="1"/>
                <w:color w:val="auto"/>
              </w:rPr>
            </w:pPr>
          </w:p>
        </w:tc>
      </w:tr>
      <w:tr>
        <w:trPr>
          <w:trHeight w:val="205"/>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September 30, 2025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48,789</w:t>
            </w: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1,182,364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192,055</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7,682</w:t>
            </w:r>
          </w:p>
        </w:tc>
        <w:tc>
          <w:tcPr>
            <w:tcW w:w="2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8,172,106</w:t>
            </w:r>
          </w:p>
        </w:tc>
        <w:tc>
          <w:tcPr>
            <w:tcW w:w="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(3,300,001)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170,202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6,236,326</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ectPr>
          <w:pgSz w:w="11900" w:h="16838" w:orient="portrait"/>
          <w:cols w:equalWidth="0" w:num="1">
            <w:col w:w="11200"/>
          </w:cols>
          <w:pgMar w:left="340" w:top="35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358" w:right="35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TRUST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60" w:type="dxa"/>
            <w:vAlign w:val="bottom"/>
          </w:tcPr>
          <w:p>
            <w:pPr>
              <w:spacing w:after="0"/>
              <w:rPr>
                <w:sz w:val="16"/>
                <w:szCs w:val="16"/>
                <w:color w:val="auto"/>
              </w:rPr>
            </w:pPr>
          </w:p>
        </w:tc>
        <w:tc>
          <w:tcPr>
            <w:tcW w:w="3180" w:type="dxa"/>
            <w:vAlign w:val="bottom"/>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4"/>
        </w:trPr>
        <w:tc>
          <w:tcPr>
            <w:tcW w:w="7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5"/>
        </w:trPr>
        <w:tc>
          <w:tcPr>
            <w:tcW w:w="7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4"/>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9"/>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(loss) income</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(28,794)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932,290</w:t>
            </w:r>
          </w:p>
        </w:tc>
      </w:tr>
      <w:tr>
        <w:trPr>
          <w:trHeight w:val="191"/>
        </w:trPr>
        <w:tc>
          <w:tcPr>
            <w:tcW w:w="7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 (including amortization of deferred financing costs)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474,631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363,383</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Equity in net income of partially owned entities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(99,335)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(135,588)</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Distributions of income from partially owned entities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86,015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80,548</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Straight-lining of rents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(77,012)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(44,235)</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on debt extinguishment</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(32,073)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17,983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19,114</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 in deferred tax liability</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of below-market leases, net</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interest rate cap premiums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20,387</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Prepaid lease payment (net of initial direct costs)</w:t>
            </w:r>
          </w:p>
        </w:tc>
        <w:tc>
          <w:tcPr>
            <w:tcW w:w="26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901,409</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on sales-type lease</w:t>
            </w:r>
          </w:p>
        </w:tc>
        <w:tc>
          <w:tcPr>
            <w:tcW w:w="2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(803,248)</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gains on disposition of wholly owned and partially owned assets</w:t>
            </w:r>
          </w:p>
        </w:tc>
        <w:tc>
          <w:tcPr>
            <w:tcW w:w="26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(24,039)</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non-cash adjustments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6"/>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Tenant and other receivables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(37,335)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(30,318)</w:t>
            </w:r>
          </w:p>
        </w:tc>
      </w:tr>
      <w:tr>
        <w:trPr>
          <w:trHeight w:val="191"/>
        </w:trPr>
        <w:tc>
          <w:tcPr>
            <w:tcW w:w="7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Prepaid assets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(67,342)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(52,554)</w:t>
            </w:r>
          </w:p>
        </w:tc>
      </w:tr>
      <w:tr>
        <w:trPr>
          <w:trHeight w:val="206"/>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(25,252)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(94,291)</w:t>
            </w:r>
          </w:p>
        </w:tc>
      </w:tr>
      <w:tr>
        <w:trPr>
          <w:trHeight w:val="191"/>
        </w:trPr>
        <w:tc>
          <w:tcPr>
            <w:tcW w:w="7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Lease liabilities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(41,303)</w:t>
            </w:r>
          </w:p>
        </w:tc>
      </w:tr>
      <w:tr>
        <w:trPr>
          <w:trHeight w:val="206"/>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45,248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20,519</w:t>
            </w:r>
          </w:p>
        </w:tc>
      </w:tr>
      <w:tr>
        <w:trPr>
          <w:trHeight w:val="192"/>
        </w:trPr>
        <w:tc>
          <w:tcPr>
            <w:tcW w:w="78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(2,718)</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(2,849)</w:t>
            </w:r>
          </w:p>
        </w:tc>
      </w:tr>
      <w:tr>
        <w:trPr>
          <w:trHeight w:val="199"/>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262,997</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1,112,112</w:t>
            </w:r>
          </w:p>
        </w:tc>
      </w:tr>
      <w:tr>
        <w:trPr>
          <w:trHeight w:val="41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9"/>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Investments in partially owned entities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(297,123)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(29,162)</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Additions to real estate</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(185,549)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(211,461)</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Acquisitions of real estate and other</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(170,319)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(245,251)</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Development costs and construction in progress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(88,361)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(117,404)</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repayment of loan receivable</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sales of real estate and other</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49,750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25,675</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Distributions of capital from partially owned entities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47,288</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partial redemption of Fifth Avenue and Times Square JV preferred equity</w:t>
            </w:r>
          </w:p>
        </w:tc>
        <w:tc>
          <w:tcPr>
            <w:tcW w:w="26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749,000</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Investment in loan receivable</w:t>
            </w:r>
          </w:p>
        </w:tc>
        <w:tc>
          <w:tcPr>
            <w:tcW w:w="2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w:t>
            </w:r>
          </w:p>
        </w:tc>
      </w:tr>
      <w:tr>
        <w:trPr>
          <w:trHeight w:val="192"/>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sale of condominium units and ancillary amenities at 220 Central Park South</w:t>
            </w:r>
          </w:p>
        </w:tc>
        <w:tc>
          <w:tcPr>
            <w:tcW w:w="26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24,839</w:t>
            </w:r>
          </w:p>
        </w:tc>
      </w:tr>
      <w:tr>
        <w:trPr>
          <w:trHeight w:val="192"/>
        </w:trPr>
        <w:tc>
          <w:tcPr>
            <w:tcW w:w="78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(600,539)</w:t>
            </w: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208,524</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TRUST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60" w:type="dxa"/>
            <w:vAlign w:val="bottom"/>
          </w:tcPr>
          <w:p>
            <w:pPr>
              <w:spacing w:after="0"/>
              <w:rPr>
                <w:sz w:val="16"/>
                <w:szCs w:val="16"/>
                <w:color w:val="auto"/>
              </w:rPr>
            </w:pPr>
          </w:p>
        </w:tc>
        <w:tc>
          <w:tcPr>
            <w:tcW w:w="3180" w:type="dxa"/>
            <w:vAlign w:val="bottom"/>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borrowings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1,714,781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835,420</w:t>
            </w:r>
          </w:p>
        </w:tc>
        <w:tc>
          <w:tcPr>
            <w:tcW w:w="0" w:type="dxa"/>
            <w:vAlign w:val="bottom"/>
          </w:tcPr>
          <w:p>
            <w:pPr>
              <w:spacing w:after="0"/>
              <w:rPr>
                <w:sz w:val="1"/>
                <w:szCs w:val="1"/>
                <w:color w:val="auto"/>
              </w:rPr>
            </w:pP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Repayments of borrowings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(1,415,569)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(1,900,683)</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Repurchase of common shares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(133,396)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Dividends paid on preferred shares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(46,575)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(46,578)</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financing costs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(34,250)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(6,809)</w:t>
            </w:r>
          </w:p>
        </w:tc>
        <w:tc>
          <w:tcPr>
            <w:tcW w:w="0" w:type="dxa"/>
            <w:vAlign w:val="bottom"/>
          </w:tcPr>
          <w:p>
            <w:pPr>
              <w:spacing w:after="0"/>
              <w:rPr>
                <w:sz w:val="1"/>
                <w:szCs w:val="1"/>
                <w:color w:val="auto"/>
              </w:rPr>
            </w:pP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 financing activity, net</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83,831</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(1,118,160)</w:t>
            </w:r>
          </w:p>
        </w:tc>
        <w:tc>
          <w:tcPr>
            <w:tcW w:w="0" w:type="dxa"/>
            <w:vAlign w:val="bottom"/>
          </w:tcPr>
          <w:p>
            <w:pPr>
              <w:spacing w:after="0"/>
              <w:rPr>
                <w:sz w:val="1"/>
                <w:szCs w:val="1"/>
                <w:color w:val="auto"/>
              </w:rPr>
            </w:pPr>
          </w:p>
        </w:tc>
      </w:tr>
      <w:tr>
        <w:trPr>
          <w:trHeight w:val="185"/>
        </w:trPr>
        <w:tc>
          <w:tcPr>
            <w:tcW w:w="7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(decrease) increase in cash and cash equivalents and restricted cash</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(253,711)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202,476</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977,546</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949,619</w:t>
            </w:r>
          </w:p>
        </w:tc>
        <w:tc>
          <w:tcPr>
            <w:tcW w:w="0" w:type="dxa"/>
            <w:vAlign w:val="bottom"/>
          </w:tcPr>
          <w:p>
            <w:pPr>
              <w:spacing w:after="0"/>
              <w:rPr>
                <w:sz w:val="1"/>
                <w:szCs w:val="1"/>
                <w:color w:val="auto"/>
              </w:rPr>
            </w:pPr>
          </w:p>
        </w:tc>
      </w:tr>
      <w:tr>
        <w:trPr>
          <w:trHeight w:val="199"/>
        </w:trPr>
        <w:tc>
          <w:tcPr>
            <w:tcW w:w="7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723,835</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1,152,095</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840,850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733,947</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Restricted cash at beginning of period</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136,696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215,672</w:t>
            </w:r>
          </w:p>
        </w:tc>
        <w:tc>
          <w:tcPr>
            <w:tcW w:w="0" w:type="dxa"/>
            <w:vAlign w:val="bottom"/>
          </w:tcPr>
          <w:p>
            <w:pPr>
              <w:spacing w:after="0"/>
              <w:rPr>
                <w:sz w:val="1"/>
                <w:szCs w:val="1"/>
                <w:color w:val="auto"/>
              </w:rPr>
            </w:pPr>
          </w:p>
        </w:tc>
      </w:tr>
      <w:tr>
        <w:trPr>
          <w:trHeight w:val="224"/>
        </w:trPr>
        <w:tc>
          <w:tcPr>
            <w:tcW w:w="7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977,546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949,619</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580,496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1,009,876</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Restricted cash at end of period</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143,339</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142,219</w:t>
            </w:r>
          </w:p>
        </w:tc>
        <w:tc>
          <w:tcPr>
            <w:tcW w:w="0" w:type="dxa"/>
            <w:vAlign w:val="bottom"/>
          </w:tcPr>
          <w:p>
            <w:pPr>
              <w:spacing w:after="0"/>
              <w:rPr>
                <w:sz w:val="1"/>
                <w:szCs w:val="1"/>
                <w:color w:val="auto"/>
              </w:rPr>
            </w:pPr>
          </w:p>
        </w:tc>
      </w:tr>
      <w:tr>
        <w:trPr>
          <w:trHeight w:val="224"/>
        </w:trPr>
        <w:tc>
          <w:tcPr>
            <w:tcW w:w="7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723,835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1,152,095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payments for interest (excluding capitalized interest) and interest rate cap premiums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240,203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234,495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payments for income taxes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9,349</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5,006</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Information:</w:t>
            </w: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Write-off of fully depreciated assets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(76,946)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(86,619)</w:t>
            </w:r>
          </w:p>
        </w:tc>
        <w:tc>
          <w:tcPr>
            <w:tcW w:w="0" w:type="dxa"/>
            <w:vAlign w:val="bottom"/>
          </w:tcPr>
          <w:p>
            <w:pPr>
              <w:spacing w:after="0"/>
              <w:rPr>
                <w:sz w:val="1"/>
                <w:szCs w:val="1"/>
                <w:color w:val="auto"/>
              </w:rPr>
            </w:pP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capital expenditures included in accounts payable and accrued expenses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50,541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30,250</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Forgiveness of mortgage principal</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fair value of consolidated interest rate hedges and other</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(48,183)</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Redeemable Class A unit measurement adjustment</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70,160</w:t>
            </w:r>
          </w:p>
        </w:tc>
        <w:tc>
          <w:tcPr>
            <w:tcW w:w="0" w:type="dxa"/>
            <w:vAlign w:val="bottom"/>
          </w:tcPr>
          <w:p>
            <w:pPr>
              <w:spacing w:after="0"/>
              <w:rPr>
                <w:sz w:val="1"/>
                <w:szCs w:val="1"/>
                <w:color w:val="auto"/>
              </w:rPr>
            </w:pP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Decrease in assets and liabilities resulting from the derecognition of 770 Broadway:</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Real estate</w:t>
            </w:r>
          </w:p>
        </w:tc>
        <w:tc>
          <w:tcPr>
            <w:tcW w:w="2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172,120</w:t>
            </w:r>
          </w:p>
        </w:tc>
        <w:tc>
          <w:tcPr>
            <w:tcW w:w="0" w:type="dxa"/>
            <w:vAlign w:val="bottom"/>
          </w:tcPr>
          <w:p>
            <w:pPr>
              <w:spacing w:after="0"/>
              <w:rPr>
                <w:sz w:val="1"/>
                <w:szCs w:val="1"/>
                <w:color w:val="auto"/>
              </w:rPr>
            </w:pPr>
          </w:p>
        </w:tc>
      </w:tr>
      <w:tr>
        <w:trPr>
          <w:trHeight w:val="191"/>
        </w:trPr>
        <w:tc>
          <w:tcPr>
            <w:tcW w:w="78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Receivable arising from the straight-lining of rents</w:t>
            </w:r>
          </w:p>
        </w:tc>
        <w:tc>
          <w:tcPr>
            <w:tcW w:w="26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26,362</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Deferred leasing costs, net of accumulated amortization</w:t>
            </w:r>
          </w:p>
        </w:tc>
        <w:tc>
          <w:tcPr>
            <w:tcW w:w="2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60,308</w:t>
            </w:r>
          </w:p>
        </w:tc>
        <w:tc>
          <w:tcPr>
            <w:tcW w:w="0" w:type="dxa"/>
            <w:vAlign w:val="bottom"/>
          </w:tcPr>
          <w:p>
            <w:pPr>
              <w:spacing w:after="0"/>
              <w:rPr>
                <w:sz w:val="1"/>
                <w:szCs w:val="1"/>
                <w:color w:val="auto"/>
              </w:rPr>
            </w:pPr>
          </w:p>
        </w:tc>
      </w:tr>
      <w:tr>
        <w:trPr>
          <w:trHeight w:val="191"/>
        </w:trPr>
        <w:tc>
          <w:tcPr>
            <w:tcW w:w="78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7,322</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Reclassification of assets held for sale (included in "other assets")</w:t>
            </w:r>
          </w:p>
        </w:tc>
        <w:tc>
          <w:tcPr>
            <w:tcW w:w="2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L.P.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unit amounts)</w:t>
            </w:r>
          </w:p>
        </w:tc>
        <w:tc>
          <w:tcPr>
            <w:tcW w:w="160" w:type="dxa"/>
            <w:vAlign w:val="bottom"/>
          </w:tcPr>
          <w:p>
            <w:pPr>
              <w:spacing w:after="0"/>
              <w:rPr>
                <w:sz w:val="16"/>
                <w:szCs w:val="16"/>
                <w:color w:val="auto"/>
              </w:rPr>
            </w:pPr>
          </w:p>
        </w:tc>
        <w:tc>
          <w:tcPr>
            <w:tcW w:w="180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48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61"/>
        </w:trPr>
        <w:tc>
          <w:tcPr>
            <w:tcW w:w="7800" w:type="dxa"/>
            <w:vAlign w:val="bottom"/>
          </w:tcPr>
          <w:p>
            <w:pPr>
              <w:ind w:left="36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at cost:</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Land</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2,357,135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2,408,914</w:t>
            </w:r>
          </w:p>
        </w:tc>
        <w:tc>
          <w:tcPr>
            <w:tcW w:w="0" w:type="dxa"/>
            <w:vAlign w:val="bottom"/>
          </w:tcPr>
          <w:p>
            <w:pPr>
              <w:spacing w:after="0"/>
              <w:rPr>
                <w:sz w:val="1"/>
                <w:szCs w:val="1"/>
                <w:color w:val="auto"/>
              </w:rPr>
            </w:pPr>
          </w:p>
        </w:tc>
      </w:tr>
      <w:tr>
        <w:trPr>
          <w:trHeight w:val="191"/>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11,138,348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10,942,418</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Development costs and construction in progress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1,037,845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890,143</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Leasehold improvements and equipment</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110,729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105,080</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14,644,057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14,346,555</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(4,534,751)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(4,191,075)</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net</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10,109,306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10,155,480</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667,270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671,308</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 lease</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166,672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166,024</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580,496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840,850</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143,339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136,696</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Tenant and other receivables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77,137</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partially owned entities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2,244,170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1,941,278</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arising from the straight-lining of rents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828,287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752,545</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leasing costs, net of accumulated amortization of $251,710 and $233,448</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394,515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374,620</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Identified intangible assets, net of accumulated amortization of $87,096 and $81,962</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110,593</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288,911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294,587</w:t>
            </w:r>
          </w:p>
        </w:tc>
        <w:tc>
          <w:tcPr>
            <w:tcW w:w="0" w:type="dxa"/>
            <w:vAlign w:val="bottom"/>
          </w:tcPr>
          <w:p>
            <w:pPr>
              <w:spacing w:after="0"/>
              <w:rPr>
                <w:sz w:val="1"/>
                <w:szCs w:val="1"/>
                <w:color w:val="auto"/>
              </w:rPr>
            </w:pPr>
          </w:p>
        </w:tc>
      </w:tr>
      <w:tr>
        <w:trPr>
          <w:trHeight w:val="192"/>
        </w:trPr>
        <w:tc>
          <w:tcPr>
            <w:tcW w:w="78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15,638,165</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15,521,118</w:t>
            </w:r>
          </w:p>
        </w:tc>
        <w:tc>
          <w:tcPr>
            <w:tcW w:w="0" w:type="dxa"/>
            <w:vAlign w:val="bottom"/>
          </w:tcPr>
          <w:p>
            <w:pPr>
              <w:spacing w:after="0"/>
              <w:rPr>
                <w:sz w:val="1"/>
                <w:szCs w:val="1"/>
                <w:color w:val="auto"/>
              </w:rPr>
            </w:pPr>
          </w:p>
        </w:tc>
      </w:tr>
      <w:tr>
        <w:trPr>
          <w:trHeight w:val="27"/>
        </w:trPr>
        <w:tc>
          <w:tcPr>
            <w:tcW w:w="780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LIABILITIES, REDEEMABLE NONCONTROLLING INTERESTS AND EQUITY</w:t>
            </w: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7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Mortgages payable, net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4,847,467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4,920,669</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unsecured notes, net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842,276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747,202</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Unsecured term loan, net</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840,569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797,337</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Unsecured revolving credit facilities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720,420</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694,361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699,640</w:t>
            </w:r>
          </w:p>
        </w:tc>
        <w:tc>
          <w:tcPr>
            <w:tcW w:w="0" w:type="dxa"/>
            <w:vAlign w:val="bottom"/>
          </w:tcPr>
          <w:p>
            <w:pPr>
              <w:spacing w:after="0"/>
              <w:rPr>
                <w:sz w:val="1"/>
                <w:szCs w:val="1"/>
                <w:color w:val="auto"/>
              </w:rPr>
            </w:pP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411,957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376,190</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compensation plan</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113,778</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327,943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341,359</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8,985,117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8,716,595</w:t>
            </w:r>
          </w:p>
        </w:tc>
        <w:tc>
          <w:tcPr>
            <w:tcW w:w="0" w:type="dxa"/>
            <w:vAlign w:val="bottom"/>
          </w:tcPr>
          <w:p>
            <w:pPr>
              <w:spacing w:after="0"/>
              <w:rPr>
                <w:sz w:val="1"/>
                <w:szCs w:val="1"/>
                <w:color w:val="auto"/>
              </w:rPr>
            </w:pPr>
          </w:p>
        </w:tc>
      </w:tr>
      <w:tr>
        <w:trPr>
          <w:trHeight w:val="17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Class A units - 16,572,667 and 16,650,713 units outstanding</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561,482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554,136</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Series D cumulative redeemable preferred units - 141,400 units outstanding</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w:t>
            </w:r>
          </w:p>
        </w:tc>
        <w:tc>
          <w:tcPr>
            <w:tcW w:w="0" w:type="dxa"/>
            <w:vAlign w:val="bottom"/>
          </w:tcPr>
          <w:p>
            <w:pPr>
              <w:spacing w:after="0"/>
              <w:rPr>
                <w:sz w:val="1"/>
                <w:szCs w:val="1"/>
                <w:color w:val="auto"/>
              </w:rPr>
            </w:pPr>
          </w:p>
        </w:tc>
      </w:tr>
      <w:tr>
        <w:trPr>
          <w:trHeight w:val="185"/>
        </w:trPr>
        <w:tc>
          <w:tcPr>
            <w:tcW w:w="78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redeemable noncontrolling partnership units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565,017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557,671</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Redeemable noncontrolling interest in a consolidated subsidiary</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68,158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90,280</w:t>
            </w:r>
          </w:p>
        </w:tc>
        <w:tc>
          <w:tcPr>
            <w:tcW w:w="0" w:type="dxa"/>
            <w:vAlign w:val="bottom"/>
          </w:tcPr>
          <w:p>
            <w:pPr>
              <w:spacing w:after="0"/>
              <w:rPr>
                <w:sz w:val="1"/>
                <w:szCs w:val="1"/>
                <w:color w:val="auto"/>
              </w:rPr>
            </w:pPr>
          </w:p>
        </w:tc>
      </w:tr>
      <w:tr>
        <w:trPr>
          <w:trHeight w:val="185"/>
        </w:trPr>
        <w:tc>
          <w:tcPr>
            <w:tcW w:w="78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redeemable noncontrolling interests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633,175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647,951</w:t>
            </w:r>
          </w:p>
        </w:tc>
        <w:tc>
          <w:tcPr>
            <w:tcW w:w="0" w:type="dxa"/>
            <w:vAlign w:val="bottom"/>
          </w:tcPr>
          <w:p>
            <w:pPr>
              <w:spacing w:after="0"/>
              <w:rPr>
                <w:sz w:val="1"/>
                <w:szCs w:val="1"/>
                <w:color w:val="auto"/>
              </w:rPr>
            </w:pPr>
          </w:p>
        </w:tc>
      </w:tr>
      <w:tr>
        <w:trPr>
          <w:trHeight w:val="18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Partners' equity:</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Partners' capital</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9,487,441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9,478,335</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Earnings less than distributions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(3,678,344)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(3,491,603)</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36,890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partners' equity</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5,845,987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5,986,727</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interests in consolidated subsidiaries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173,886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169,845</w:t>
            </w:r>
          </w:p>
        </w:tc>
        <w:tc>
          <w:tcPr>
            <w:tcW w:w="0" w:type="dxa"/>
            <w:vAlign w:val="bottom"/>
          </w:tcPr>
          <w:p>
            <w:pPr>
              <w:spacing w:after="0"/>
              <w:rPr>
                <w:sz w:val="1"/>
                <w:szCs w:val="1"/>
                <w:color w:val="auto"/>
              </w:rPr>
            </w:pPr>
          </w:p>
        </w:tc>
      </w:tr>
      <w:tr>
        <w:trPr>
          <w:trHeight w:val="192"/>
        </w:trPr>
        <w:tc>
          <w:tcPr>
            <w:tcW w:w="7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equity</w:t>
            </w: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6,019,873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6,156,572</w:t>
            </w:r>
          </w:p>
        </w:tc>
        <w:tc>
          <w:tcPr>
            <w:tcW w:w="0" w:type="dxa"/>
            <w:vAlign w:val="bottom"/>
          </w:tcPr>
          <w:p>
            <w:pPr>
              <w:spacing w:after="0"/>
              <w:rPr>
                <w:sz w:val="1"/>
                <w:szCs w:val="1"/>
                <w:color w:val="auto"/>
              </w:rPr>
            </w:pPr>
          </w:p>
        </w:tc>
      </w:tr>
      <w:tr>
        <w:trPr>
          <w:trHeight w:val="192"/>
        </w:trPr>
        <w:tc>
          <w:tcPr>
            <w:tcW w:w="78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15,638,165</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15,521,118</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L.P.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unit amounts)</w:t>
            </w:r>
          </w:p>
        </w:tc>
        <w:tc>
          <w:tcPr>
            <w:tcW w:w="80" w:type="dxa"/>
            <w:vAlign w:val="bottom"/>
          </w:tcPr>
          <w:p>
            <w:pPr>
              <w:spacing w:after="0"/>
              <w:rPr>
                <w:sz w:val="16"/>
                <w:szCs w:val="16"/>
                <w:color w:val="auto"/>
              </w:rPr>
            </w:pPr>
          </w:p>
        </w:tc>
        <w:tc>
          <w:tcPr>
            <w:tcW w:w="28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20" w:type="dxa"/>
            <w:vAlign w:val="bottom"/>
          </w:tcPr>
          <w:p>
            <w:pPr>
              <w:spacing w:after="0"/>
              <w:rPr>
                <w:sz w:val="16"/>
                <w:szCs w:val="16"/>
                <w:color w:val="auto"/>
              </w:rPr>
            </w:pPr>
          </w:p>
        </w:tc>
        <w:tc>
          <w:tcPr>
            <w:tcW w:w="2740" w:type="dxa"/>
            <w:vAlign w:val="bottom"/>
            <w:gridSpan w:val="4"/>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4"/>
        </w:trPr>
        <w:tc>
          <w:tcPr>
            <w:tcW w:w="54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1"/>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5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Rental 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409,621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389,097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1,213,878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1,176,104</w:t>
            </w:r>
          </w:p>
        </w:tc>
        <w:tc>
          <w:tcPr>
            <w:tcW w:w="0" w:type="dxa"/>
            <w:vAlign w:val="bottom"/>
          </w:tcPr>
          <w:p>
            <w:pPr>
              <w:spacing w:after="0"/>
              <w:rPr>
                <w:sz w:val="1"/>
                <w:szCs w:val="1"/>
                <w:color w:val="auto"/>
              </w:rPr>
            </w:pPr>
          </w:p>
        </w:tc>
      </w:tr>
      <w:tr>
        <w:trPr>
          <w:trHeight w:val="192"/>
        </w:trPr>
        <w:tc>
          <w:tcPr>
            <w:tcW w:w="5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Fee and other income</w:t>
            </w: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58,036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64,603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175,126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180,612</w:t>
            </w:r>
          </w:p>
        </w:tc>
        <w:tc>
          <w:tcPr>
            <w:tcW w:w="0" w:type="dxa"/>
            <w:vAlign w:val="bottom"/>
          </w:tcPr>
          <w:p>
            <w:pPr>
              <w:spacing w:after="0"/>
              <w:rPr>
                <w:sz w:val="1"/>
                <w:szCs w:val="1"/>
                <w:color w:val="auto"/>
              </w:rPr>
            </w:pPr>
          </w:p>
        </w:tc>
      </w:tr>
      <w:tr>
        <w:trPr>
          <w:trHeight w:val="19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467,657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453,700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1,389,004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1,356,716</w:t>
            </w:r>
          </w:p>
        </w:tc>
        <w:tc>
          <w:tcPr>
            <w:tcW w:w="0" w:type="dxa"/>
            <w:vAlign w:val="bottom"/>
          </w:tcPr>
          <w:p>
            <w:pPr>
              <w:spacing w:after="0"/>
              <w:rPr>
                <w:sz w:val="1"/>
                <w:szCs w:val="1"/>
                <w:color w:val="auto"/>
              </w:rPr>
            </w:pPr>
          </w:p>
        </w:tc>
      </w:tr>
      <w:tr>
        <w:trPr>
          <w:trHeight w:val="172"/>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(245,521)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(715,801)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(685,857)</w:t>
            </w:r>
          </w:p>
        </w:tc>
        <w:tc>
          <w:tcPr>
            <w:tcW w:w="0" w:type="dxa"/>
            <w:vAlign w:val="bottom"/>
          </w:tcPr>
          <w:p>
            <w:pPr>
              <w:spacing w:after="0"/>
              <w:rPr>
                <w:sz w:val="1"/>
                <w:szCs w:val="1"/>
                <w:color w:val="auto"/>
              </w:rPr>
            </w:pPr>
          </w:p>
        </w:tc>
      </w:tr>
      <w:tr>
        <w:trPr>
          <w:trHeight w:val="191"/>
        </w:trPr>
        <w:tc>
          <w:tcPr>
            <w:tcW w:w="5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(458,801)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(348,851)</w:t>
            </w:r>
          </w:p>
        </w:tc>
        <w:tc>
          <w:tcPr>
            <w:tcW w:w="0" w:type="dxa"/>
            <w:vAlign w:val="bottom"/>
          </w:tcPr>
          <w:p>
            <w:pPr>
              <w:spacing w:after="0"/>
              <w:rPr>
                <w:sz w:val="1"/>
                <w:szCs w:val="1"/>
                <w:color w:val="auto"/>
              </w:rPr>
            </w:pPr>
          </w:p>
        </w:tc>
      </w:tr>
      <w:tr>
        <w:trPr>
          <w:trHeight w:val="206"/>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(34,705)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(116,050)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(116,065)</w:t>
            </w:r>
          </w:p>
        </w:tc>
        <w:tc>
          <w:tcPr>
            <w:tcW w:w="0" w:type="dxa"/>
            <w:vAlign w:val="bottom"/>
          </w:tcPr>
          <w:p>
            <w:pPr>
              <w:spacing w:after="0"/>
              <w:rPr>
                <w:sz w:val="1"/>
                <w:szCs w:val="1"/>
                <w:color w:val="auto"/>
              </w:rPr>
            </w:pPr>
          </w:p>
        </w:tc>
      </w:tr>
      <w:tr>
        <w:trPr>
          <w:trHeight w:val="191"/>
        </w:trPr>
        <w:tc>
          <w:tcPr>
            <w:tcW w:w="5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(expense) from deferred compensation plan liability</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(8,790)</w:t>
            </w:r>
          </w:p>
        </w:tc>
        <w:tc>
          <w:tcPr>
            <w:tcW w:w="0" w:type="dxa"/>
            <w:vAlign w:val="bottom"/>
          </w:tcPr>
          <w:p>
            <w:pPr>
              <w:spacing w:after="0"/>
              <w:rPr>
                <w:sz w:val="1"/>
                <w:szCs w:val="1"/>
                <w:color w:val="auto"/>
              </w:rPr>
            </w:pPr>
          </w:p>
        </w:tc>
      </w:tr>
      <w:tr>
        <w:trPr>
          <w:trHeight w:val="206"/>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Transaction related costs and other</w:t>
            </w:r>
          </w:p>
        </w:tc>
        <w:tc>
          <w:tcPr>
            <w:tcW w:w="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(4,327)</w:t>
            </w:r>
          </w:p>
        </w:tc>
        <w:tc>
          <w:tcPr>
            <w:tcW w:w="0" w:type="dxa"/>
            <w:vAlign w:val="bottom"/>
          </w:tcPr>
          <w:p>
            <w:pPr>
              <w:spacing w:after="0"/>
              <w:rPr>
                <w:sz w:val="1"/>
                <w:szCs w:val="1"/>
                <w:color w:val="auto"/>
              </w:rPr>
            </w:pPr>
          </w:p>
        </w:tc>
      </w:tr>
      <w:tr>
        <w:trPr>
          <w:trHeight w:val="185"/>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(445,331)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(406,700)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(1,290,711)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(1,163,890)</w:t>
            </w:r>
          </w:p>
        </w:tc>
        <w:tc>
          <w:tcPr>
            <w:tcW w:w="0" w:type="dxa"/>
            <w:vAlign w:val="bottom"/>
          </w:tcPr>
          <w:p>
            <w:pPr>
              <w:spacing w:after="0"/>
              <w:rPr>
                <w:sz w:val="1"/>
                <w:szCs w:val="1"/>
                <w:color w:val="auto"/>
              </w:rPr>
            </w:pPr>
          </w:p>
        </w:tc>
      </w:tr>
      <w:tr>
        <w:trPr>
          <w:trHeight w:val="199"/>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partially owned entities</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99,335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135,588</w:t>
            </w:r>
          </w:p>
        </w:tc>
        <w:tc>
          <w:tcPr>
            <w:tcW w:w="0" w:type="dxa"/>
            <w:vAlign w:val="bottom"/>
          </w:tcPr>
          <w:p>
            <w:pPr>
              <w:spacing w:after="0"/>
              <w:rPr>
                <w:sz w:val="1"/>
                <w:szCs w:val="1"/>
                <w:color w:val="auto"/>
              </w:rPr>
            </w:pPr>
          </w:p>
        </w:tc>
      </w:tr>
      <w:tr>
        <w:trPr>
          <w:trHeight w:val="191"/>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investment income, net</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41,730</w:t>
            </w:r>
          </w:p>
        </w:tc>
        <w:tc>
          <w:tcPr>
            <w:tcW w:w="0" w:type="dxa"/>
            <w:vAlign w:val="bottom"/>
          </w:tcPr>
          <w:p>
            <w:pPr>
              <w:spacing w:after="0"/>
              <w:rPr>
                <w:sz w:val="1"/>
                <w:szCs w:val="1"/>
                <w:color w:val="auto"/>
              </w:rPr>
            </w:pPr>
          </w:p>
        </w:tc>
      </w:tr>
      <w:tr>
        <w:trPr>
          <w:trHeight w:val="20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 income from deferred compensation plan assets</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8,790</w:t>
            </w:r>
          </w:p>
        </w:tc>
        <w:tc>
          <w:tcPr>
            <w:tcW w:w="0" w:type="dxa"/>
            <w:vAlign w:val="bottom"/>
          </w:tcPr>
          <w:p>
            <w:pPr>
              <w:spacing w:after="0"/>
              <w:rPr>
                <w:sz w:val="1"/>
                <w:szCs w:val="1"/>
                <w:color w:val="auto"/>
              </w:rPr>
            </w:pPr>
          </w:p>
        </w:tc>
      </w:tr>
      <w:tr>
        <w:trPr>
          <w:trHeight w:val="191"/>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debt expense</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(267,502)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(268,204)</w:t>
            </w:r>
          </w:p>
        </w:tc>
        <w:tc>
          <w:tcPr>
            <w:tcW w:w="0" w:type="dxa"/>
            <w:vAlign w:val="bottom"/>
          </w:tcPr>
          <w:p>
            <w:pPr>
              <w:spacing w:after="0"/>
              <w:rPr>
                <w:sz w:val="1"/>
                <w:szCs w:val="1"/>
                <w:color w:val="auto"/>
              </w:rPr>
            </w:pPr>
          </w:p>
        </w:tc>
      </w:tr>
      <w:tr>
        <w:trPr>
          <w:trHeight w:val="20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debt extinguishment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32,073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sales-type lease</w:t>
            </w:r>
          </w:p>
        </w:tc>
        <w:tc>
          <w:tcPr>
            <w:tcW w:w="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803,248</w:t>
            </w:r>
          </w:p>
        </w:tc>
        <w:tc>
          <w:tcPr>
            <w:tcW w:w="0" w:type="dxa"/>
            <w:vAlign w:val="bottom"/>
          </w:tcPr>
          <w:p>
            <w:pPr>
              <w:spacing w:after="0"/>
              <w:rPr>
                <w:sz w:val="1"/>
                <w:szCs w:val="1"/>
                <w:color w:val="auto"/>
              </w:rPr>
            </w:pPr>
          </w:p>
        </w:tc>
      </w:tr>
      <w:tr>
        <w:trPr>
          <w:trHeight w:val="20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gains on disposition of wholly owned and partially owned assets</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24,039</w:t>
            </w:r>
          </w:p>
        </w:tc>
        <w:tc>
          <w:tcPr>
            <w:tcW w:w="0" w:type="dxa"/>
            <w:vAlign w:val="bottom"/>
          </w:tcPr>
          <w:p>
            <w:pPr>
              <w:spacing w:after="0"/>
              <w:rPr>
                <w:sz w:val="1"/>
                <w:szCs w:val="1"/>
                <w:color w:val="auto"/>
              </w:rPr>
            </w:pPr>
          </w:p>
        </w:tc>
      </w:tr>
      <w:tr>
        <w:trPr>
          <w:trHeight w:val="185"/>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(42,296)</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13,650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(15,647)</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938,017</w:t>
            </w:r>
          </w:p>
        </w:tc>
        <w:tc>
          <w:tcPr>
            <w:tcW w:w="0" w:type="dxa"/>
            <w:vAlign w:val="bottom"/>
          </w:tcPr>
          <w:p>
            <w:pPr>
              <w:spacing w:after="0"/>
              <w:rPr>
                <w:sz w:val="1"/>
                <w:szCs w:val="1"/>
                <w:color w:val="auto"/>
              </w:rPr>
            </w:pPr>
          </w:p>
        </w:tc>
      </w:tr>
      <w:tr>
        <w:trPr>
          <w:trHeight w:val="20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(5,727)</w:t>
            </w:r>
          </w:p>
        </w:tc>
        <w:tc>
          <w:tcPr>
            <w:tcW w:w="0" w:type="dxa"/>
            <w:vAlign w:val="bottom"/>
          </w:tcPr>
          <w:p>
            <w:pPr>
              <w:spacing w:after="0"/>
              <w:rPr>
                <w:sz w:val="1"/>
                <w:szCs w:val="1"/>
                <w:color w:val="auto"/>
              </w:rPr>
            </w:pPr>
          </w:p>
        </w:tc>
      </w:tr>
      <w:tr>
        <w:trPr>
          <w:trHeight w:val="185"/>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(28,794)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932,290</w:t>
            </w:r>
          </w:p>
        </w:tc>
        <w:tc>
          <w:tcPr>
            <w:tcW w:w="0" w:type="dxa"/>
            <w:vAlign w:val="bottom"/>
          </w:tcPr>
          <w:p>
            <w:pPr>
              <w:spacing w:after="0"/>
              <w:rPr>
                <w:sz w:val="1"/>
                <w:szCs w:val="1"/>
                <w:color w:val="auto"/>
              </w:rPr>
            </w:pPr>
          </w:p>
        </w:tc>
      </w:tr>
      <w:tr>
        <w:trPr>
          <w:trHeight w:val="20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loss attributable to noncontrolling interests in consolidated subsidiaries</w:t>
            </w:r>
          </w:p>
        </w:tc>
        <w:tc>
          <w:tcPr>
            <w:tcW w:w="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30,326</w:t>
            </w:r>
          </w:p>
        </w:tc>
        <w:tc>
          <w:tcPr>
            <w:tcW w:w="0" w:type="dxa"/>
            <w:vAlign w:val="bottom"/>
          </w:tcPr>
          <w:p>
            <w:pPr>
              <w:spacing w:after="0"/>
              <w:rPr>
                <w:sz w:val="1"/>
                <w:szCs w:val="1"/>
                <w:color w:val="auto"/>
              </w:rPr>
            </w:pPr>
          </w:p>
        </w:tc>
      </w:tr>
      <w:tr>
        <w:trPr>
          <w:trHeight w:val="185"/>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Vornado Realty L.P.</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(35,784)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962,616</w:t>
            </w:r>
          </w:p>
        </w:tc>
        <w:tc>
          <w:tcPr>
            <w:tcW w:w="0" w:type="dxa"/>
            <w:vAlign w:val="bottom"/>
          </w:tcPr>
          <w:p>
            <w:pPr>
              <w:spacing w:after="0"/>
              <w:rPr>
                <w:sz w:val="1"/>
                <w:szCs w:val="1"/>
                <w:color w:val="auto"/>
              </w:rPr>
            </w:pPr>
          </w:p>
        </w:tc>
      </w:tr>
      <w:tr>
        <w:trPr>
          <w:trHeight w:val="19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unit distributions</w:t>
            </w:r>
          </w:p>
        </w:tc>
        <w:tc>
          <w:tcPr>
            <w:tcW w:w="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(46,661)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(46,664)</w:t>
            </w:r>
          </w:p>
        </w:tc>
        <w:tc>
          <w:tcPr>
            <w:tcW w:w="0" w:type="dxa"/>
            <w:vAlign w:val="bottom"/>
          </w:tcPr>
          <w:p>
            <w:pPr>
              <w:spacing w:after="0"/>
              <w:rPr>
                <w:sz w:val="1"/>
                <w:szCs w:val="1"/>
                <w:color w:val="auto"/>
              </w:rPr>
            </w:pPr>
          </w:p>
        </w:tc>
      </w:tr>
      <w:tr>
        <w:trPr>
          <w:trHeight w:val="199"/>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 attributable to Class A unitholders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(51,338)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(58,333)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915,952</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(LOSS) INCOME PER CLASS A UNIT - BASIC:</w:t>
            </w: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54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 income per Class A unit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Weighted average units outstanding</w:t>
            </w: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202,080</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205,846</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202,661</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205,806</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(LOSS) INCOME PER CLASS A UNIT - DILUTED:</w:t>
            </w: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54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 income per Class A unit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Weighted average units outstanding</w:t>
            </w: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202,104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213,946</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202,661</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215,100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L.P.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80" w:type="dxa"/>
            <w:vAlign w:val="bottom"/>
          </w:tcPr>
          <w:p>
            <w:pPr>
              <w:spacing w:after="0"/>
              <w:rPr>
                <w:sz w:val="16"/>
                <w:szCs w:val="16"/>
                <w:color w:val="auto"/>
              </w:rPr>
            </w:pPr>
          </w:p>
        </w:tc>
        <w:tc>
          <w:tcPr>
            <w:tcW w:w="28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20" w:type="dxa"/>
            <w:vAlign w:val="bottom"/>
          </w:tcPr>
          <w:p>
            <w:pPr>
              <w:spacing w:after="0"/>
              <w:rPr>
                <w:sz w:val="16"/>
                <w:szCs w:val="16"/>
                <w:color w:val="auto"/>
              </w:rPr>
            </w:pPr>
          </w:p>
        </w:tc>
        <w:tc>
          <w:tcPr>
            <w:tcW w:w="2740" w:type="dxa"/>
            <w:vAlign w:val="bottom"/>
            <w:gridSpan w:val="4"/>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4"/>
        </w:trPr>
        <w:tc>
          <w:tcPr>
            <w:tcW w:w="54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4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(45,964)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center"/>
              <w:ind w:left="649"/>
              <w:spacing w:after="0"/>
              <w:rPr>
                <w:sz w:val="20"/>
                <w:szCs w:val="20"/>
                <w:color w:val="auto"/>
              </w:rPr>
            </w:pPr>
            <w:r>
              <w:rPr>
                <w:rFonts w:ascii="Times New Roman" w:cs="Times New Roman" w:eastAsia="Times New Roman" w:hAnsi="Times New Roman"/>
                <w:sz w:val="14"/>
                <w:szCs w:val="14"/>
                <w:color w:val="auto"/>
              </w:rPr>
              <w:t>(28,794)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932,290</w:t>
            </w:r>
          </w:p>
        </w:tc>
      </w:tr>
      <w:tr>
        <w:trPr>
          <w:trHeight w:val="191"/>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6"/>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fair value of consolidated interest rate hedges and other</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rPr>
              <w:t>23,658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(48,183)</w:t>
            </w:r>
          </w:p>
        </w:tc>
      </w:tr>
      <w:tr>
        <w:trPr>
          <w:trHeight w:val="192"/>
        </w:trPr>
        <w:tc>
          <w:tcPr>
            <w:tcW w:w="5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comprehensive income (loss) of nonconsolidated subsidiaries</w:t>
            </w: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669"/>
              <w:spacing w:after="0"/>
              <w:rPr>
                <w:sz w:val="20"/>
                <w:szCs w:val="20"/>
                <w:color w:val="auto"/>
              </w:rPr>
            </w:pPr>
            <w:r>
              <w:rPr>
                <w:rFonts w:ascii="Times New Roman" w:cs="Times New Roman" w:eastAsia="Times New Roman" w:hAnsi="Times New Roman"/>
                <w:sz w:val="14"/>
                <w:szCs w:val="14"/>
                <w:color w:val="auto"/>
              </w:rPr>
              <w:t>16,641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(11,121)</w:t>
            </w:r>
          </w:p>
        </w:tc>
      </w:tr>
      <w:tr>
        <w:trPr>
          <w:trHeight w:val="19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income</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left="689"/>
              <w:spacing w:after="0"/>
              <w:rPr>
                <w:sz w:val="20"/>
                <w:szCs w:val="20"/>
                <w:color w:val="auto"/>
              </w:rPr>
            </w:pPr>
            <w:r>
              <w:rPr>
                <w:rFonts w:ascii="Times New Roman" w:cs="Times New Roman" w:eastAsia="Times New Roman" w:hAnsi="Times New Roman"/>
                <w:sz w:val="14"/>
                <w:szCs w:val="14"/>
                <w:color w:val="auto"/>
                <w:w w:val="98"/>
              </w:rPr>
              <w:t>11,505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872,986</w:t>
            </w:r>
          </w:p>
        </w:tc>
      </w:tr>
      <w:tr>
        <w:trPr>
          <w:trHeight w:val="192"/>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comprehensive loss attributable to noncontrolling interests in consolidated subsidiaries</w:t>
            </w: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10,169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9,427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669"/>
              <w:spacing w:after="0"/>
              <w:rPr>
                <w:sz w:val="20"/>
                <w:szCs w:val="20"/>
                <w:color w:val="auto"/>
              </w:rPr>
            </w:pPr>
            <w:r>
              <w:rPr>
                <w:rFonts w:ascii="Times New Roman" w:cs="Times New Roman" w:eastAsia="Times New Roman" w:hAnsi="Times New Roman"/>
                <w:sz w:val="14"/>
                <w:szCs w:val="14"/>
                <w:color w:val="auto"/>
              </w:rPr>
              <w:t>16,989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31,152</w:t>
            </w:r>
          </w:p>
        </w:tc>
      </w:tr>
      <w:tr>
        <w:trPr>
          <w:trHeight w:val="224"/>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income attributable to Vornado Realty L.P.</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rPr>
              <w:t>28,494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904,138</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L.P.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(Amounts in thousands)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3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gridSpan w:val="5"/>
            <w:vMerge w:val="restart"/>
          </w:tcPr>
          <w:p>
            <w:pPr>
              <w:ind w:left="460"/>
              <w:spacing w:after="0" w:line="146" w:lineRule="exact"/>
              <w:rPr>
                <w:sz w:val="20"/>
                <w:szCs w:val="20"/>
                <w:color w:val="auto"/>
              </w:rPr>
            </w:pPr>
            <w:r>
              <w:rPr>
                <w:rFonts w:ascii="Times New Roman" w:cs="Times New Roman" w:eastAsia="Times New Roman" w:hAnsi="Times New Roman"/>
                <w:sz w:val="13"/>
                <w:szCs w:val="13"/>
                <w:b w:val="1"/>
                <w:bCs w:val="1"/>
                <w:color w:val="auto"/>
              </w:rPr>
              <w:t>Class A Units</w:t>
            </w: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3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restart"/>
          </w:tcPr>
          <w:p>
            <w:pPr>
              <w:jc w:val="center"/>
              <w:ind w:right="220"/>
              <w:spacing w:after="0" w:line="133"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5"/>
                <w:szCs w:val="5"/>
                <w:color w:val="auto"/>
              </w:rPr>
            </w:pPr>
          </w:p>
        </w:tc>
        <w:tc>
          <w:tcPr>
            <w:tcW w:w="1140" w:type="dxa"/>
            <w:vAlign w:val="bottom"/>
            <w:gridSpan w:val="2"/>
            <w:vMerge w:val="restart"/>
          </w:tcPr>
          <w:p>
            <w:pPr>
              <w:jc w:val="center"/>
              <w:ind w:right="220"/>
              <w:spacing w:after="0" w:line="133"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5"/>
                <w:szCs w:val="5"/>
                <w:color w:val="auto"/>
              </w:rPr>
            </w:pPr>
          </w:p>
        </w:tc>
        <w:tc>
          <w:tcPr>
            <w:tcW w:w="1020" w:type="dxa"/>
            <w:vAlign w:val="bottom"/>
            <w:gridSpan w:val="2"/>
            <w:vMerge w:val="restart"/>
          </w:tcPr>
          <w:p>
            <w:pPr>
              <w:jc w:val="center"/>
              <w:ind w:right="220"/>
              <w:spacing w:after="0" w:line="133" w:lineRule="exact"/>
              <w:rPr>
                <w:sz w:val="20"/>
                <w:szCs w:val="20"/>
                <w:color w:val="auto"/>
              </w:rPr>
            </w:pPr>
            <w:r>
              <w:rPr>
                <w:rFonts w:ascii="Times New Roman" w:cs="Times New Roman" w:eastAsia="Times New Roman" w:hAnsi="Times New Roman"/>
                <w:sz w:val="13"/>
                <w:szCs w:val="13"/>
                <w:b w:val="1"/>
                <w:bCs w:val="1"/>
                <w:color w:val="auto"/>
              </w:rPr>
              <w:t>Interests in</w:t>
            </w: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3120" w:type="dxa"/>
            <w:vAlign w:val="bottom"/>
          </w:tcPr>
          <w:p>
            <w:pPr>
              <w:spacing w:after="0"/>
              <w:rPr>
                <w:sz w:val="5"/>
                <w:szCs w:val="5"/>
                <w:color w:val="auto"/>
              </w:rPr>
            </w:pPr>
          </w:p>
        </w:tc>
        <w:tc>
          <w:tcPr>
            <w:tcW w:w="1700" w:type="dxa"/>
            <w:vAlign w:val="bottom"/>
            <w:gridSpan w:val="4"/>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Preferred Units</w:t>
            </w:r>
          </w:p>
        </w:tc>
        <w:tc>
          <w:tcPr>
            <w:tcW w:w="120" w:type="dxa"/>
            <w:vAlign w:val="bottom"/>
            <w:vMerge w:val="restart"/>
          </w:tcPr>
          <w:p>
            <w:pPr>
              <w:spacing w:after="0"/>
              <w:rPr>
                <w:sz w:val="5"/>
                <w:szCs w:val="5"/>
                <w:color w:val="auto"/>
              </w:rPr>
            </w:pPr>
          </w:p>
        </w:tc>
        <w:tc>
          <w:tcPr>
            <w:tcW w:w="1700" w:type="dxa"/>
            <w:vAlign w:val="bottom"/>
            <w:gridSpan w:val="4"/>
            <w:vMerge w:val="restart"/>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Owned by Vornado</w:t>
            </w:r>
          </w:p>
        </w:tc>
        <w:tc>
          <w:tcPr>
            <w:tcW w:w="10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3120" w:type="dxa"/>
            <w:vAlign w:val="bottom"/>
          </w:tcPr>
          <w:p>
            <w:pPr>
              <w:spacing w:after="0"/>
              <w:rPr>
                <w:sz w:val="9"/>
                <w:szCs w:val="9"/>
                <w:color w:val="auto"/>
              </w:rPr>
            </w:pPr>
          </w:p>
        </w:tc>
        <w:tc>
          <w:tcPr>
            <w:tcW w:w="170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70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20" w:type="dxa"/>
            <w:vAlign w:val="bottom"/>
          </w:tcPr>
          <w:p>
            <w:pPr>
              <w:spacing w:after="0"/>
              <w:rPr>
                <w:sz w:val="9"/>
                <w:szCs w:val="9"/>
                <w:color w:val="auto"/>
              </w:rPr>
            </w:pPr>
          </w:p>
        </w:tc>
        <w:tc>
          <w:tcPr>
            <w:tcW w:w="1140" w:type="dxa"/>
            <w:vAlign w:val="bottom"/>
            <w:gridSpan w:val="2"/>
          </w:tcPr>
          <w:p>
            <w:pPr>
              <w:jc w:val="center"/>
              <w:ind w:right="220"/>
              <w:spacing w:after="0" w:line="113"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9"/>
                <w:szCs w:val="9"/>
                <w:color w:val="auto"/>
              </w:rPr>
            </w:pPr>
          </w:p>
        </w:tc>
        <w:tc>
          <w:tcPr>
            <w:tcW w:w="102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3120" w:type="dxa"/>
            <w:vAlign w:val="bottom"/>
          </w:tcPr>
          <w:p>
            <w:pPr>
              <w:spacing w:after="0"/>
              <w:rPr>
                <w:sz w:val="15"/>
                <w:szCs w:val="15"/>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Distributions</w:t>
            </w: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20" w:type="dxa"/>
            <w:vAlign w:val="bottom"/>
          </w:tcPr>
          <w:p>
            <w:pPr>
              <w:spacing w:after="0"/>
              <w:rPr>
                <w:sz w:val="15"/>
                <w:szCs w:val="15"/>
                <w:color w:val="auto"/>
              </w:rPr>
            </w:pP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119"/>
        </w:trPr>
        <w:tc>
          <w:tcPr>
            <w:tcW w:w="312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1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48,788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1,182,505</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186,721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8,210,253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(3,631,204)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175,697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5,963,284</w:t>
            </w:r>
          </w:p>
        </w:tc>
        <w:tc>
          <w:tcPr>
            <w:tcW w:w="0" w:type="dxa"/>
            <w:vAlign w:val="bottom"/>
          </w:tcPr>
          <w:p>
            <w:pPr>
              <w:spacing w:after="0"/>
              <w:rPr>
                <w:sz w:val="1"/>
                <w:szCs w:val="1"/>
                <w:color w:val="auto"/>
              </w:rPr>
            </w:pPr>
          </w:p>
        </w:tc>
      </w:tr>
      <w:tr>
        <w:trPr>
          <w:trHeight w:val="179"/>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attributable to Vornado Realty L.P.</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(35,784)</w:t>
            </w:r>
          </w:p>
        </w:tc>
        <w:tc>
          <w:tcPr>
            <w:tcW w:w="0" w:type="dxa"/>
            <w:vAlign w:val="bottom"/>
          </w:tcPr>
          <w:p>
            <w:pPr>
              <w:spacing w:after="0"/>
              <w:rPr>
                <w:sz w:val="1"/>
                <w:szCs w:val="1"/>
                <w:color w:val="auto"/>
              </w:rPr>
            </w:pPr>
          </w:p>
        </w:tc>
      </w:tr>
      <w:tr>
        <w:trPr>
          <w:trHeight w:val="192"/>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attributable to redeemable partnership units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4,171</w:t>
            </w:r>
          </w:p>
        </w:tc>
        <w:tc>
          <w:tcPr>
            <w:tcW w:w="0" w:type="dxa"/>
            <w:vAlign w:val="bottom"/>
          </w:tcPr>
          <w:p>
            <w:pPr>
              <w:spacing w:after="0"/>
              <w:rPr>
                <w:sz w:val="1"/>
                <w:szCs w:val="1"/>
                <w:color w:val="auto"/>
              </w:rPr>
            </w:pPr>
          </w:p>
        </w:tc>
      </w:tr>
      <w:tr>
        <w:trPr>
          <w:trHeight w:val="133"/>
        </w:trPr>
        <w:tc>
          <w:tcPr>
            <w:tcW w:w="31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Net loss attributable to nonredeemable noncontrolling</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(2,670)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(2,670)</w:t>
            </w:r>
          </w:p>
        </w:tc>
        <w:tc>
          <w:tcPr>
            <w:tcW w:w="0" w:type="dxa"/>
            <w:vAlign w:val="bottom"/>
          </w:tcPr>
          <w:p>
            <w:pPr>
              <w:spacing w:after="0"/>
              <w:rPr>
                <w:sz w:val="1"/>
                <w:szCs w:val="1"/>
                <w:color w:val="auto"/>
              </w:rPr>
            </w:pPr>
          </w:p>
        </w:tc>
      </w:tr>
      <w:tr>
        <w:trPr>
          <w:trHeight w:val="179"/>
        </w:trPr>
        <w:tc>
          <w:tcPr>
            <w:tcW w:w="3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interests in consolidated subsidiaries</w:t>
            </w: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1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Distributions to preferred unitholders (see Note 11 for</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(15,525)</w:t>
            </w:r>
          </w:p>
        </w:tc>
        <w:tc>
          <w:tcPr>
            <w:tcW w:w="0" w:type="dxa"/>
            <w:vAlign w:val="bottom"/>
          </w:tcPr>
          <w:p>
            <w:pPr>
              <w:spacing w:after="0"/>
              <w:rPr>
                <w:sz w:val="1"/>
                <w:szCs w:val="1"/>
                <w:color w:val="auto"/>
              </w:rPr>
            </w:pPr>
          </w:p>
        </w:tc>
      </w:tr>
      <w:tr>
        <w:trPr>
          <w:trHeight w:val="185"/>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distributions per unit amounts)</w:t>
            </w: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1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Class A units issued to Vornado upon redemption of</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8,948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8,948</w:t>
            </w:r>
          </w:p>
        </w:tc>
        <w:tc>
          <w:tcPr>
            <w:tcW w:w="0" w:type="dxa"/>
            <w:vAlign w:val="bottom"/>
          </w:tcPr>
          <w:p>
            <w:pPr>
              <w:spacing w:after="0"/>
              <w:rPr>
                <w:sz w:val="1"/>
                <w:szCs w:val="1"/>
                <w:color w:val="auto"/>
              </w:rPr>
            </w:pPr>
          </w:p>
        </w:tc>
      </w:tr>
      <w:tr>
        <w:trPr>
          <w:trHeight w:val="179"/>
        </w:trPr>
        <w:tc>
          <w:tcPr>
            <w:tcW w:w="3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redeemable Class A units, at redemption value</w:t>
            </w: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Conversion of Series A preferred units to Class A units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9"/>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Contributions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0" w:type="dxa"/>
            <w:vAlign w:val="bottom"/>
          </w:tcPr>
          <w:p>
            <w:pPr>
              <w:spacing w:after="0"/>
              <w:rPr>
                <w:sz w:val="1"/>
                <w:szCs w:val="1"/>
                <w:color w:val="auto"/>
              </w:rPr>
            </w:pPr>
          </w:p>
        </w:tc>
      </w:tr>
      <w:tr>
        <w:trPr>
          <w:trHeight w:val="192"/>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33"/>
        </w:trPr>
        <w:tc>
          <w:tcPr>
            <w:tcW w:w="31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Other comprehensive income of nonconsolidated</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7,337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7,337</w:t>
            </w:r>
          </w:p>
        </w:tc>
        <w:tc>
          <w:tcPr>
            <w:tcW w:w="0" w:type="dxa"/>
            <w:vAlign w:val="bottom"/>
          </w:tcPr>
          <w:p>
            <w:pPr>
              <w:spacing w:after="0"/>
              <w:rPr>
                <w:sz w:val="1"/>
                <w:szCs w:val="1"/>
                <w:color w:val="auto"/>
              </w:rPr>
            </w:pPr>
          </w:p>
        </w:tc>
      </w:tr>
      <w:tr>
        <w:trPr>
          <w:trHeight w:val="179"/>
        </w:trPr>
        <w:tc>
          <w:tcPr>
            <w:tcW w:w="3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subsidiaries</w:t>
            </w: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1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Change in fair value of consolidated interest rate</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4,977</w:t>
            </w:r>
          </w:p>
        </w:tc>
        <w:tc>
          <w:tcPr>
            <w:tcW w:w="0" w:type="dxa"/>
            <w:vAlign w:val="bottom"/>
          </w:tcPr>
          <w:p>
            <w:pPr>
              <w:spacing w:after="0"/>
              <w:rPr>
                <w:sz w:val="1"/>
                <w:szCs w:val="1"/>
                <w:color w:val="auto"/>
              </w:rPr>
            </w:pPr>
          </w:p>
        </w:tc>
      </w:tr>
      <w:tr>
        <w:trPr>
          <w:trHeight w:val="185"/>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hedges and other</w:t>
            </w: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Redeemable Class A unit measurement adjustment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85,294</w:t>
            </w:r>
          </w:p>
        </w:tc>
        <w:tc>
          <w:tcPr>
            <w:tcW w:w="0" w:type="dxa"/>
            <w:vAlign w:val="bottom"/>
          </w:tcPr>
          <w:p>
            <w:pPr>
              <w:spacing w:after="0"/>
              <w:rPr>
                <w:sz w:val="1"/>
                <w:szCs w:val="1"/>
                <w:color w:val="auto"/>
              </w:rPr>
            </w:pPr>
          </w:p>
        </w:tc>
      </w:tr>
      <w:tr>
        <w:trPr>
          <w:trHeight w:val="139"/>
        </w:trPr>
        <w:tc>
          <w:tcPr>
            <w:tcW w:w="31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Other comprehensive income attributable to</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1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Redeemable partnership units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0" w:type="dxa"/>
            <w:vAlign w:val="bottom"/>
          </w:tcPr>
          <w:p>
            <w:pPr>
              <w:spacing w:after="0"/>
              <w:rPr>
                <w:sz w:val="1"/>
                <w:szCs w:val="1"/>
                <w:color w:val="auto"/>
              </w:rPr>
            </w:pPr>
          </w:p>
        </w:tc>
      </w:tr>
      <w:tr>
        <w:trPr>
          <w:trHeight w:val="192"/>
        </w:trPr>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9"/>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September 30, 2026</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1,182,493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186,958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8,304,948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(3,678,344)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173,886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6,019,873</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Class A Units</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3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200"/>
              <w:spacing w:after="0" w:line="133" w:lineRule="exact"/>
              <w:rPr>
                <w:sz w:val="20"/>
                <w:szCs w:val="20"/>
                <w:color w:val="auto"/>
              </w:rPr>
            </w:pPr>
            <w:r>
              <w:rPr>
                <w:rFonts w:ascii="Times New Roman" w:cs="Times New Roman" w:eastAsia="Times New Roman" w:hAnsi="Times New Roman"/>
                <w:sz w:val="13"/>
                <w:szCs w:val="13"/>
                <w:b w:val="1"/>
                <w:bCs w:val="1"/>
                <w:color w:val="auto"/>
                <w:w w:val="98"/>
              </w:rPr>
              <w:t>Earnings</w:t>
            </w:r>
          </w:p>
        </w:tc>
        <w:tc>
          <w:tcPr>
            <w:tcW w:w="120" w:type="dxa"/>
            <w:vAlign w:val="bottom"/>
          </w:tcPr>
          <w:p>
            <w:pPr>
              <w:spacing w:after="0"/>
              <w:rPr>
                <w:sz w:val="4"/>
                <w:szCs w:val="4"/>
                <w:color w:val="auto"/>
              </w:rPr>
            </w:pPr>
          </w:p>
        </w:tc>
        <w:tc>
          <w:tcPr>
            <w:tcW w:w="1120" w:type="dxa"/>
            <w:vAlign w:val="bottom"/>
            <w:gridSpan w:val="2"/>
            <w:vMerge w:val="restart"/>
          </w:tcPr>
          <w:p>
            <w:pPr>
              <w:jc w:val="center"/>
              <w:ind w:right="220"/>
              <w:spacing w:after="0" w:line="133"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4"/>
                <w:szCs w:val="4"/>
                <w:color w:val="auto"/>
              </w:rPr>
            </w:pPr>
          </w:p>
        </w:tc>
        <w:tc>
          <w:tcPr>
            <w:tcW w:w="980" w:type="dxa"/>
            <w:vAlign w:val="bottom"/>
            <w:gridSpan w:val="2"/>
            <w:vMerge w:val="restart"/>
          </w:tcPr>
          <w:p>
            <w:pPr>
              <w:jc w:val="center"/>
              <w:ind w:right="220"/>
              <w:spacing w:after="0" w:line="133" w:lineRule="exact"/>
              <w:rPr>
                <w:sz w:val="20"/>
                <w:szCs w:val="20"/>
                <w:color w:val="auto"/>
              </w:rPr>
            </w:pPr>
            <w:r>
              <w:rPr>
                <w:rFonts w:ascii="Times New Roman" w:cs="Times New Roman" w:eastAsia="Times New Roman" w:hAnsi="Times New Roman"/>
                <w:sz w:val="13"/>
                <w:szCs w:val="13"/>
                <w:b w:val="1"/>
                <w:bCs w:val="1"/>
                <w:color w:val="auto"/>
              </w:rPr>
              <w:t>Interests in</w:t>
            </w: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3060" w:type="dxa"/>
            <w:vAlign w:val="bottom"/>
          </w:tcPr>
          <w:p>
            <w:pPr>
              <w:spacing w:after="0"/>
              <w:rPr>
                <w:sz w:val="6"/>
                <w:szCs w:val="6"/>
                <w:color w:val="auto"/>
              </w:rPr>
            </w:pPr>
          </w:p>
        </w:tc>
        <w:tc>
          <w:tcPr>
            <w:tcW w:w="1680" w:type="dxa"/>
            <w:vAlign w:val="bottom"/>
            <w:gridSpan w:val="4"/>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Preferred Units</w:t>
            </w:r>
          </w:p>
        </w:tc>
        <w:tc>
          <w:tcPr>
            <w:tcW w:w="100" w:type="dxa"/>
            <w:vAlign w:val="bottom"/>
            <w:vMerge w:val="restart"/>
          </w:tcPr>
          <w:p>
            <w:pPr>
              <w:spacing w:after="0"/>
              <w:rPr>
                <w:sz w:val="6"/>
                <w:szCs w:val="6"/>
                <w:color w:val="auto"/>
              </w:rPr>
            </w:pPr>
          </w:p>
        </w:tc>
        <w:tc>
          <w:tcPr>
            <w:tcW w:w="1680" w:type="dxa"/>
            <w:vAlign w:val="bottom"/>
            <w:gridSpan w:val="4"/>
            <w:vMerge w:val="restart"/>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Owned by Vornado</w:t>
            </w:r>
          </w:p>
        </w:tc>
        <w:tc>
          <w:tcPr>
            <w:tcW w:w="10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3060" w:type="dxa"/>
            <w:vAlign w:val="bottom"/>
          </w:tcPr>
          <w:p>
            <w:pPr>
              <w:spacing w:after="0"/>
              <w:rPr>
                <w:sz w:val="8"/>
                <w:szCs w:val="8"/>
                <w:color w:val="auto"/>
              </w:rPr>
            </w:pPr>
          </w:p>
        </w:tc>
        <w:tc>
          <w:tcPr>
            <w:tcW w:w="168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68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tcPr>
          <w:p>
            <w:pPr>
              <w:jc w:val="center"/>
              <w:ind w:right="200"/>
              <w:spacing w:after="0" w:line="101" w:lineRule="exact"/>
              <w:rPr>
                <w:sz w:val="20"/>
                <w:szCs w:val="20"/>
                <w:color w:val="auto"/>
              </w:rPr>
            </w:pPr>
            <w:r>
              <w:rPr>
                <w:rFonts w:ascii="Times New Roman" w:cs="Times New Roman" w:eastAsia="Times New Roman" w:hAnsi="Times New Roman"/>
                <w:sz w:val="11"/>
                <w:szCs w:val="11"/>
                <w:b w:val="1"/>
                <w:bCs w:val="1"/>
                <w:color w:val="auto"/>
              </w:rPr>
              <w:t>Less Than</w:t>
            </w:r>
          </w:p>
        </w:tc>
        <w:tc>
          <w:tcPr>
            <w:tcW w:w="120" w:type="dxa"/>
            <w:vAlign w:val="bottom"/>
          </w:tcPr>
          <w:p>
            <w:pPr>
              <w:spacing w:after="0"/>
              <w:rPr>
                <w:sz w:val="8"/>
                <w:szCs w:val="8"/>
                <w:color w:val="auto"/>
              </w:rPr>
            </w:pPr>
          </w:p>
        </w:tc>
        <w:tc>
          <w:tcPr>
            <w:tcW w:w="1120" w:type="dxa"/>
            <w:vAlign w:val="bottom"/>
            <w:gridSpan w:val="2"/>
          </w:tcPr>
          <w:p>
            <w:pPr>
              <w:jc w:val="center"/>
              <w:ind w:right="200"/>
              <w:spacing w:after="0" w:line="101"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8"/>
                <w:szCs w:val="8"/>
                <w:color w:val="auto"/>
              </w:rPr>
            </w:pPr>
          </w:p>
        </w:tc>
        <w:tc>
          <w:tcPr>
            <w:tcW w:w="980" w:type="dxa"/>
            <w:vAlign w:val="bottom"/>
            <w:gridSpan w:val="2"/>
          </w:tcPr>
          <w:p>
            <w:pPr>
              <w:jc w:val="center"/>
              <w:ind w:right="200"/>
              <w:spacing w:after="0" w:line="101" w:lineRule="exact"/>
              <w:rPr>
                <w:sz w:val="20"/>
                <w:szCs w:val="20"/>
                <w:color w:val="auto"/>
              </w:rPr>
            </w:pPr>
            <w:r>
              <w:rPr>
                <w:rFonts w:ascii="Times New Roman" w:cs="Times New Roman" w:eastAsia="Times New Roman" w:hAnsi="Times New Roman"/>
                <w:sz w:val="11"/>
                <w:szCs w:val="11"/>
                <w:b w:val="1"/>
                <w:bCs w:val="1"/>
                <w:color w:val="auto"/>
              </w:rPr>
              <w:t>Consolidated</w:t>
            </w: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060" w:type="dxa"/>
            <w:vAlign w:val="bottom"/>
          </w:tcPr>
          <w:p>
            <w:pPr>
              <w:spacing w:after="0"/>
              <w:rPr>
                <w:sz w:val="16"/>
                <w:szCs w:val="16"/>
                <w:color w:val="auto"/>
              </w:rPr>
            </w:pP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Distributions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20" w:type="dxa"/>
            <w:vAlign w:val="bottom"/>
          </w:tcPr>
          <w:p>
            <w:pPr>
              <w:spacing w:after="0"/>
              <w:rPr>
                <w:sz w:val="16"/>
                <w:szCs w:val="16"/>
                <w:color w:val="auto"/>
              </w:rPr>
            </w:pP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119"/>
        </w:trPr>
        <w:tc>
          <w:tcPr>
            <w:tcW w:w="306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48,789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1,182,364</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192,041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8,211,463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(3,311,586)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9,857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171,863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6,263,961</w:t>
            </w:r>
          </w:p>
        </w:tc>
        <w:tc>
          <w:tcPr>
            <w:tcW w:w="0" w:type="dxa"/>
            <w:vAlign w:val="bottom"/>
          </w:tcPr>
          <w:p>
            <w:pPr>
              <w:spacing w:after="0"/>
              <w:rPr>
                <w:sz w:val="1"/>
                <w:szCs w:val="1"/>
                <w:color w:val="auto"/>
              </w:rPr>
            </w:pPr>
          </w:p>
        </w:tc>
      </w:tr>
      <w:tr>
        <w:trPr>
          <w:trHeight w:val="179"/>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attributable to Vornado Realty L.P.</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28,151</w:t>
            </w:r>
          </w:p>
        </w:tc>
        <w:tc>
          <w:tcPr>
            <w:tcW w:w="0" w:type="dxa"/>
            <w:vAlign w:val="bottom"/>
          </w:tcPr>
          <w:p>
            <w:pPr>
              <w:spacing w:after="0"/>
              <w:rPr>
                <w:sz w:val="1"/>
                <w:szCs w:val="1"/>
                <w:color w:val="auto"/>
              </w:rPr>
            </w:pPr>
          </w:p>
        </w:tc>
      </w:tr>
      <w:tr>
        <w:trPr>
          <w:trHeight w:val="139"/>
        </w:trPr>
        <w:tc>
          <w:tcPr>
            <w:tcW w:w="30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Net income attributable to redeemable partnership</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w:t>
            </w:r>
          </w:p>
        </w:tc>
        <w:tc>
          <w:tcPr>
            <w:tcW w:w="0" w:type="dxa"/>
            <w:vAlign w:val="bottom"/>
          </w:tcPr>
          <w:p>
            <w:pPr>
              <w:spacing w:after="0"/>
              <w:rPr>
                <w:sz w:val="1"/>
                <w:szCs w:val="1"/>
                <w:color w:val="auto"/>
              </w:rPr>
            </w:pPr>
          </w:p>
        </w:tc>
      </w:tr>
      <w:tr>
        <w:trPr>
          <w:trHeight w:val="185"/>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units</w:t>
            </w: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0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Net loss attributable to nonredeemable noncontrolling</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(1,143)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(1,143)</w:t>
            </w:r>
          </w:p>
        </w:tc>
        <w:tc>
          <w:tcPr>
            <w:tcW w:w="0" w:type="dxa"/>
            <w:vAlign w:val="bottom"/>
          </w:tcPr>
          <w:p>
            <w:pPr>
              <w:spacing w:after="0"/>
              <w:rPr>
                <w:sz w:val="1"/>
                <w:szCs w:val="1"/>
                <w:color w:val="auto"/>
              </w:rPr>
            </w:pPr>
          </w:p>
        </w:tc>
      </w:tr>
      <w:tr>
        <w:trPr>
          <w:trHeight w:val="179"/>
        </w:trPr>
        <w:tc>
          <w:tcPr>
            <w:tcW w:w="3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interests in consolidated subsidiaries</w:t>
            </w: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0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Distributions to preferred unitholders (see Note 11 for</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(15,526)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(15,526)</w:t>
            </w:r>
          </w:p>
        </w:tc>
        <w:tc>
          <w:tcPr>
            <w:tcW w:w="0" w:type="dxa"/>
            <w:vAlign w:val="bottom"/>
          </w:tcPr>
          <w:p>
            <w:pPr>
              <w:spacing w:after="0"/>
              <w:rPr>
                <w:sz w:val="1"/>
                <w:szCs w:val="1"/>
                <w:color w:val="auto"/>
              </w:rPr>
            </w:pPr>
          </w:p>
        </w:tc>
      </w:tr>
      <w:tr>
        <w:trPr>
          <w:trHeight w:val="185"/>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distributions per unit amounts)</w:t>
            </w: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Class A units issued to Vornado:</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06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3"/>
                <w:szCs w:val="13"/>
                <w:color w:val="auto"/>
              </w:rPr>
              <w:t>Upon redemption of redeemable Class A units, at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0" w:type="dxa"/>
            <w:vAlign w:val="bottom"/>
          </w:tcPr>
          <w:p>
            <w:pPr>
              <w:spacing w:after="0"/>
              <w:rPr>
                <w:sz w:val="1"/>
                <w:szCs w:val="1"/>
                <w:color w:val="auto"/>
              </w:rPr>
            </w:pPr>
          </w:p>
        </w:tc>
      </w:tr>
      <w:tr>
        <w:trPr>
          <w:trHeight w:val="185"/>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redemption value</w:t>
            </w: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Under Vornado's employees’ share option plan</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9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3"/>
        </w:trPr>
        <w:tc>
          <w:tcPr>
            <w:tcW w:w="30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Other comprehensive income of nonconsolidated</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179"/>
        </w:trPr>
        <w:tc>
          <w:tcPr>
            <w:tcW w:w="3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subsidiaries</w:t>
            </w: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0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Change in fair value of consolidated interest rate</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(7,041)</w:t>
            </w:r>
          </w:p>
        </w:tc>
        <w:tc>
          <w:tcPr>
            <w:tcW w:w="0" w:type="dxa"/>
            <w:vAlign w:val="bottom"/>
          </w:tcPr>
          <w:p>
            <w:pPr>
              <w:spacing w:after="0"/>
              <w:rPr>
                <w:sz w:val="1"/>
                <w:szCs w:val="1"/>
                <w:color w:val="auto"/>
              </w:rPr>
            </w:pPr>
          </w:p>
        </w:tc>
      </w:tr>
      <w:tr>
        <w:trPr>
          <w:trHeight w:val="185"/>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hedges and other</w:t>
            </w: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Redeemable Class A unit measurement adjustment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(32,228)</w:t>
            </w:r>
          </w:p>
        </w:tc>
        <w:tc>
          <w:tcPr>
            <w:tcW w:w="0" w:type="dxa"/>
            <w:vAlign w:val="bottom"/>
          </w:tcPr>
          <w:p>
            <w:pPr>
              <w:spacing w:after="0"/>
              <w:rPr>
                <w:sz w:val="1"/>
                <w:szCs w:val="1"/>
                <w:color w:val="auto"/>
              </w:rPr>
            </w:pPr>
          </w:p>
        </w:tc>
      </w:tr>
      <w:tr>
        <w:trPr>
          <w:trHeight w:val="139"/>
        </w:trPr>
        <w:tc>
          <w:tcPr>
            <w:tcW w:w="30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Other comprehensive loss attributable to</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0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Redeemable partnership units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0" w:type="dxa"/>
            <w:vAlign w:val="bottom"/>
          </w:tcPr>
          <w:p>
            <w:pPr>
              <w:spacing w:after="0"/>
              <w:rPr>
                <w:sz w:val="1"/>
                <w:szCs w:val="1"/>
                <w:color w:val="auto"/>
              </w:rPr>
            </w:pPr>
          </w:p>
        </w:tc>
      </w:tr>
      <w:tr>
        <w:trPr>
          <w:trHeight w:val="192"/>
        </w:trPr>
        <w:tc>
          <w:tcPr>
            <w:tcW w:w="3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9"/>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September 30, 2025</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1,182,364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192,055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8,179,788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(3,300,001)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170,202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6,236,326</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L.P.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(Amounts in thousands)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Class A Units</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1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Non-controlling</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60" w:type="dxa"/>
            <w:vAlign w:val="bottom"/>
            <w:gridSpan w:val="8"/>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Preferred Units</w:t>
            </w:r>
          </w:p>
        </w:tc>
        <w:tc>
          <w:tcPr>
            <w:tcW w:w="180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60" w:type="dxa"/>
            <w:vAlign w:val="bottom"/>
            <w:gridSpan w:val="8"/>
            <w:vMerge w:val="continue"/>
          </w:tcPr>
          <w:p>
            <w:pPr>
              <w:spacing w:after="0"/>
              <w:rPr>
                <w:sz w:val="11"/>
                <w:szCs w:val="11"/>
                <w:color w:val="auto"/>
              </w:rPr>
            </w:pPr>
          </w:p>
        </w:tc>
        <w:tc>
          <w:tcPr>
            <w:tcW w:w="1800" w:type="dxa"/>
            <w:vAlign w:val="bottom"/>
            <w:gridSpan w:val="5"/>
          </w:tcPr>
          <w:p>
            <w:pPr>
              <w:jc w:val="center"/>
              <w:ind w:right="100"/>
              <w:spacing w:after="0" w:line="133" w:lineRule="exact"/>
              <w:rPr>
                <w:sz w:val="20"/>
                <w:szCs w:val="20"/>
                <w:color w:val="auto"/>
              </w:rPr>
            </w:pPr>
            <w:r>
              <w:rPr>
                <w:rFonts w:ascii="Times New Roman" w:cs="Times New Roman" w:eastAsia="Times New Roman" w:hAnsi="Times New Roman"/>
                <w:sz w:val="13"/>
                <w:szCs w:val="13"/>
                <w:b w:val="1"/>
                <w:bCs w:val="1"/>
                <w:color w:val="auto"/>
              </w:rPr>
              <w:t>Owned by Vornado</w:t>
            </w: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3"/>
                <w:szCs w:val="13"/>
                <w:b w:val="1"/>
                <w:bCs w:val="1"/>
                <w:color w:val="auto"/>
              </w:rPr>
              <w:t>Interests in</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3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200"/>
              <w:spacing w:after="0" w:line="119"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20" w:type="dxa"/>
            <w:vAlign w:val="bottom"/>
          </w:tcPr>
          <w:p>
            <w:pPr>
              <w:spacing w:after="0"/>
              <w:rPr>
                <w:sz w:val="4"/>
                <w:szCs w:val="4"/>
                <w:color w:val="auto"/>
              </w:rPr>
            </w:pPr>
          </w:p>
        </w:tc>
        <w:tc>
          <w:tcPr>
            <w:tcW w:w="1140" w:type="dxa"/>
            <w:vAlign w:val="bottom"/>
            <w:gridSpan w:val="2"/>
            <w:vMerge w:val="restart"/>
          </w:tcPr>
          <w:p>
            <w:pPr>
              <w:jc w:val="center"/>
              <w:ind w:right="220"/>
              <w:spacing w:after="0" w:line="11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4"/>
                <w:szCs w:val="4"/>
                <w:color w:val="auto"/>
              </w:rPr>
            </w:pPr>
          </w:p>
        </w:tc>
        <w:tc>
          <w:tcPr>
            <w:tcW w:w="1020" w:type="dxa"/>
            <w:vAlign w:val="bottom"/>
            <w:gridSpan w:val="2"/>
            <w:vMerge w:val="restart"/>
          </w:tcPr>
          <w:p>
            <w:pPr>
              <w:jc w:val="center"/>
              <w:ind w:right="220"/>
              <w:spacing w:after="0" w:line="119"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3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20" w:type="dxa"/>
            <w:vAlign w:val="bottom"/>
          </w:tcPr>
          <w:p>
            <w:pPr>
              <w:spacing w:after="0"/>
              <w:rPr>
                <w:sz w:val="4"/>
                <w:szCs w:val="4"/>
                <w:color w:val="auto"/>
              </w:rPr>
            </w:pPr>
          </w:p>
        </w:tc>
        <w:tc>
          <w:tcPr>
            <w:tcW w:w="84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40" w:type="dxa"/>
            <w:vAlign w:val="bottom"/>
          </w:tcPr>
          <w:p>
            <w:pPr>
              <w:spacing w:after="0"/>
              <w:rPr>
                <w:sz w:val="4"/>
                <w:szCs w:val="4"/>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vMerge w:val="restart"/>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179"/>
        </w:trPr>
        <w:tc>
          <w:tcPr>
            <w:tcW w:w="3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Distributions</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 2026:</w:t>
            </w: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48,788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1,182,345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190,666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8,295,990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(3,491,603)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169,845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6,156,572</w:t>
            </w:r>
          </w:p>
        </w:tc>
        <w:tc>
          <w:tcPr>
            <w:tcW w:w="0" w:type="dxa"/>
            <w:vAlign w:val="bottom"/>
          </w:tcPr>
          <w:p>
            <w:pPr>
              <w:spacing w:after="0"/>
              <w:rPr>
                <w:sz w:val="1"/>
                <w:szCs w:val="1"/>
                <w:color w:val="auto"/>
              </w:rPr>
            </w:pPr>
          </w:p>
        </w:tc>
      </w:tr>
      <w:tr>
        <w:trPr>
          <w:trHeight w:val="179"/>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 attributable to Vornado Realty L.P.</w:t>
            </w: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(11,672)</w:t>
            </w: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attributable to redeemable partnership units</w:t>
            </w: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4,701</w:t>
            </w:r>
          </w:p>
        </w:tc>
        <w:tc>
          <w:tcPr>
            <w:tcW w:w="0" w:type="dxa"/>
            <w:vAlign w:val="bottom"/>
          </w:tcPr>
          <w:p>
            <w:pPr>
              <w:spacing w:after="0"/>
              <w:rPr>
                <w:sz w:val="1"/>
                <w:szCs w:val="1"/>
                <w:color w:val="auto"/>
              </w:rPr>
            </w:pPr>
          </w:p>
        </w:tc>
      </w:tr>
      <w:tr>
        <w:trPr>
          <w:trHeight w:val="133"/>
        </w:trPr>
        <w:tc>
          <w:tcPr>
            <w:tcW w:w="31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Net income attributable to nonredeemable</w:t>
            </w:r>
          </w:p>
        </w:tc>
        <w:tc>
          <w:tcPr>
            <w:tcW w:w="8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4,610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4,610</w:t>
            </w:r>
          </w:p>
        </w:tc>
        <w:tc>
          <w:tcPr>
            <w:tcW w:w="0" w:type="dxa"/>
            <w:vAlign w:val="bottom"/>
          </w:tcPr>
          <w:p>
            <w:pPr>
              <w:spacing w:after="0"/>
              <w:rPr>
                <w:sz w:val="1"/>
                <w:szCs w:val="1"/>
                <w:color w:val="auto"/>
              </w:rPr>
            </w:pPr>
          </w:p>
        </w:tc>
      </w:tr>
      <w:tr>
        <w:trPr>
          <w:trHeight w:val="179"/>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noncontrolling interests in consolidated subsidiaries</w:t>
            </w:r>
          </w:p>
        </w:tc>
        <w:tc>
          <w:tcPr>
            <w:tcW w:w="8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160" w:type="dxa"/>
            <w:vAlign w:val="bottom"/>
            <w:gridSpan w:val="2"/>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Distributions to preferred unitholders (see Note 11 for</w:t>
            </w:r>
          </w:p>
        </w:tc>
        <w:tc>
          <w:tcPr>
            <w:tcW w:w="8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(46,575)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(46,575)</w:t>
            </w:r>
          </w:p>
        </w:tc>
        <w:tc>
          <w:tcPr>
            <w:tcW w:w="0" w:type="dxa"/>
            <w:vAlign w:val="bottom"/>
          </w:tcPr>
          <w:p>
            <w:pPr>
              <w:spacing w:after="0"/>
              <w:rPr>
                <w:sz w:val="1"/>
                <w:szCs w:val="1"/>
                <w:color w:val="auto"/>
              </w:rPr>
            </w:pPr>
          </w:p>
        </w:tc>
      </w:tr>
      <w:tr>
        <w:trPr>
          <w:trHeight w:val="185"/>
        </w:trPr>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distributions per unit amounts)</w:t>
            </w:r>
          </w:p>
        </w:tc>
        <w:tc>
          <w:tcPr>
            <w:tcW w:w="80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4"/>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1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Class A units issued to Vornado upon redemption of</w:t>
            </w:r>
          </w:p>
        </w:tc>
        <w:tc>
          <w:tcPr>
            <w:tcW w:w="8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25,935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25,935</w:t>
            </w:r>
          </w:p>
        </w:tc>
        <w:tc>
          <w:tcPr>
            <w:tcW w:w="0" w:type="dxa"/>
            <w:vAlign w:val="bottom"/>
          </w:tcPr>
          <w:p>
            <w:pPr>
              <w:spacing w:after="0"/>
              <w:rPr>
                <w:sz w:val="1"/>
                <w:szCs w:val="1"/>
                <w:color w:val="auto"/>
              </w:rPr>
            </w:pPr>
          </w:p>
        </w:tc>
      </w:tr>
      <w:tr>
        <w:trPr>
          <w:trHeight w:val="179"/>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redeemable Class A units, at redemption value</w:t>
            </w:r>
          </w:p>
        </w:tc>
        <w:tc>
          <w:tcPr>
            <w:tcW w:w="8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Contributions</w:t>
            </w: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0" w:type="dxa"/>
            <w:vAlign w:val="bottom"/>
          </w:tcPr>
          <w:p>
            <w:pPr>
              <w:spacing w:after="0"/>
              <w:rPr>
                <w:sz w:val="1"/>
                <w:szCs w:val="1"/>
                <w:color w:val="auto"/>
              </w:rPr>
            </w:pPr>
          </w:p>
        </w:tc>
      </w:tr>
      <w:tr>
        <w:trPr>
          <w:trHeight w:val="179"/>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Distributions</w:t>
            </w: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(1,556)</w:t>
            </w: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 of Class A units owned by Vornado</w:t>
            </w: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(133,215)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(133,396)</w:t>
            </w:r>
          </w:p>
        </w:tc>
        <w:tc>
          <w:tcPr>
            <w:tcW w:w="0" w:type="dxa"/>
            <w:vAlign w:val="bottom"/>
          </w:tcPr>
          <w:p>
            <w:pPr>
              <w:spacing w:after="0"/>
              <w:rPr>
                <w:sz w:val="1"/>
                <w:szCs w:val="1"/>
                <w:color w:val="auto"/>
              </w:rPr>
            </w:pPr>
          </w:p>
        </w:tc>
      </w:tr>
      <w:tr>
        <w:trPr>
          <w:trHeight w:val="179"/>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Conversion of Series A preferred units to Class A units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9"/>
        </w:trPr>
        <w:tc>
          <w:tcPr>
            <w:tcW w:w="3160" w:type="dxa"/>
            <w:vAlign w:val="bottom"/>
            <w:gridSpan w:val="2"/>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Other comprehensive income of nonconsolidated</w:t>
            </w:r>
          </w:p>
        </w:tc>
        <w:tc>
          <w:tcPr>
            <w:tcW w:w="8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16,641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16,641</w:t>
            </w:r>
          </w:p>
        </w:tc>
        <w:tc>
          <w:tcPr>
            <w:tcW w:w="0" w:type="dxa"/>
            <w:vAlign w:val="bottom"/>
          </w:tcPr>
          <w:p>
            <w:pPr>
              <w:spacing w:after="0"/>
              <w:rPr>
                <w:sz w:val="1"/>
                <w:szCs w:val="1"/>
                <w:color w:val="auto"/>
              </w:rPr>
            </w:pPr>
          </w:p>
        </w:tc>
      </w:tr>
      <w:tr>
        <w:trPr>
          <w:trHeight w:val="185"/>
        </w:trPr>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subsidiaries</w:t>
            </w:r>
          </w:p>
        </w:tc>
        <w:tc>
          <w:tcPr>
            <w:tcW w:w="80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4"/>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1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Change in fair value of consolidated interest rate hedges</w:t>
            </w:r>
          </w:p>
        </w:tc>
        <w:tc>
          <w:tcPr>
            <w:tcW w:w="8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23,658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23,658</w:t>
            </w:r>
          </w:p>
        </w:tc>
        <w:tc>
          <w:tcPr>
            <w:tcW w:w="0" w:type="dxa"/>
            <w:vAlign w:val="bottom"/>
          </w:tcPr>
          <w:p>
            <w:pPr>
              <w:spacing w:after="0"/>
              <w:rPr>
                <w:sz w:val="1"/>
                <w:szCs w:val="1"/>
                <w:color w:val="auto"/>
              </w:rPr>
            </w:pPr>
          </w:p>
        </w:tc>
      </w:tr>
      <w:tr>
        <w:trPr>
          <w:trHeight w:val="179"/>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and other</w:t>
            </w:r>
          </w:p>
        </w:tc>
        <w:tc>
          <w:tcPr>
            <w:tcW w:w="8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Redeemable Class A unit measurement adjustment</w:t>
            </w: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(16,824)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(16,803)</w:t>
            </w:r>
          </w:p>
        </w:tc>
        <w:tc>
          <w:tcPr>
            <w:tcW w:w="0" w:type="dxa"/>
            <w:vAlign w:val="bottom"/>
          </w:tcPr>
          <w:p>
            <w:pPr>
              <w:spacing w:after="0"/>
              <w:rPr>
                <w:sz w:val="1"/>
                <w:szCs w:val="1"/>
                <w:color w:val="auto"/>
              </w:rPr>
            </w:pPr>
          </w:p>
        </w:tc>
      </w:tr>
      <w:tr>
        <w:trPr>
          <w:trHeight w:val="133"/>
        </w:trPr>
        <w:tc>
          <w:tcPr>
            <w:tcW w:w="31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Other comprehensive income attributable to</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Redeemable partnership units</w:t>
            </w: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w:t>
            </w:r>
          </w:p>
        </w:tc>
        <w:tc>
          <w:tcPr>
            <w:tcW w:w="0" w:type="dxa"/>
            <w:vAlign w:val="bottom"/>
          </w:tcPr>
          <w:p>
            <w:pPr>
              <w:spacing w:after="0"/>
              <w:rPr>
                <w:sz w:val="1"/>
                <w:szCs w:val="1"/>
                <w:color w:val="auto"/>
              </w:rPr>
            </w:pPr>
          </w:p>
        </w:tc>
      </w:tr>
      <w:tr>
        <w:trPr>
          <w:trHeight w:val="179"/>
        </w:trPr>
        <w:tc>
          <w:tcPr>
            <w:tcW w:w="31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0" w:type="dxa"/>
            <w:vAlign w:val="bottom"/>
          </w:tcPr>
          <w:p>
            <w:pPr>
              <w:spacing w:after="0"/>
              <w:rPr>
                <w:sz w:val="1"/>
                <w:szCs w:val="1"/>
                <w:color w:val="auto"/>
              </w:rPr>
            </w:pPr>
          </w:p>
        </w:tc>
      </w:tr>
      <w:tr>
        <w:trPr>
          <w:trHeight w:val="185"/>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September 30, 2026</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48,787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1,182,493</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186,958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8,304,948</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(3,678,344)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36,890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173,886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6,019,873</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gridSpan w:val="8"/>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Preferred Units</w:t>
            </w:r>
          </w:p>
        </w:tc>
        <w:tc>
          <w:tcPr>
            <w:tcW w:w="180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Class A Units</w:t>
            </w:r>
          </w:p>
        </w:tc>
        <w:tc>
          <w:tcPr>
            <w:tcW w:w="100" w:type="dxa"/>
            <w:vAlign w:val="bottom"/>
          </w:tcPr>
          <w:p>
            <w:pPr>
              <w:spacing w:after="0"/>
              <w:rPr>
                <w:sz w:val="24"/>
                <w:szCs w:val="24"/>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Non-controlling</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60" w:type="dxa"/>
            <w:vAlign w:val="bottom"/>
            <w:gridSpan w:val="8"/>
            <w:vMerge w:val="continue"/>
          </w:tcPr>
          <w:p>
            <w:pPr>
              <w:spacing w:after="0"/>
              <w:rPr>
                <w:sz w:val="11"/>
                <w:szCs w:val="11"/>
                <w:color w:val="auto"/>
              </w:rPr>
            </w:pPr>
          </w:p>
        </w:tc>
        <w:tc>
          <w:tcPr>
            <w:tcW w:w="1800" w:type="dxa"/>
            <w:vAlign w:val="bottom"/>
            <w:gridSpan w:val="5"/>
          </w:tcPr>
          <w:p>
            <w:pPr>
              <w:jc w:val="center"/>
              <w:ind w:right="140"/>
              <w:spacing w:after="0" w:line="133" w:lineRule="exact"/>
              <w:rPr>
                <w:sz w:val="20"/>
                <w:szCs w:val="20"/>
                <w:color w:val="auto"/>
              </w:rPr>
            </w:pPr>
            <w:r>
              <w:rPr>
                <w:rFonts w:ascii="Times New Roman" w:cs="Times New Roman" w:eastAsia="Times New Roman" w:hAnsi="Times New Roman"/>
                <w:sz w:val="13"/>
                <w:szCs w:val="13"/>
                <w:b w:val="1"/>
                <w:bCs w:val="1"/>
                <w:color w:val="auto"/>
              </w:rPr>
              <w:t>Owned by Vornado</w:t>
            </w: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3"/>
                <w:szCs w:val="13"/>
                <w:b w:val="1"/>
                <w:bCs w:val="1"/>
                <w:color w:val="auto"/>
              </w:rPr>
              <w:t>Interests in</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31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200"/>
              <w:spacing w:after="0" w:line="119"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20" w:type="dxa"/>
            <w:vAlign w:val="bottom"/>
          </w:tcPr>
          <w:p>
            <w:pPr>
              <w:spacing w:after="0"/>
              <w:rPr>
                <w:sz w:val="4"/>
                <w:szCs w:val="4"/>
                <w:color w:val="auto"/>
              </w:rPr>
            </w:pPr>
          </w:p>
        </w:tc>
        <w:tc>
          <w:tcPr>
            <w:tcW w:w="1140" w:type="dxa"/>
            <w:vAlign w:val="bottom"/>
            <w:gridSpan w:val="2"/>
            <w:vMerge w:val="restart"/>
          </w:tcPr>
          <w:p>
            <w:pPr>
              <w:jc w:val="center"/>
              <w:ind w:right="220"/>
              <w:spacing w:after="0" w:line="11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4"/>
                <w:szCs w:val="4"/>
                <w:color w:val="auto"/>
              </w:rPr>
            </w:pPr>
          </w:p>
        </w:tc>
        <w:tc>
          <w:tcPr>
            <w:tcW w:w="1020" w:type="dxa"/>
            <w:vAlign w:val="bottom"/>
            <w:gridSpan w:val="2"/>
            <w:vMerge w:val="restart"/>
          </w:tcPr>
          <w:p>
            <w:pPr>
              <w:jc w:val="center"/>
              <w:ind w:right="220"/>
              <w:spacing w:after="0" w:line="119"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3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20" w:type="dxa"/>
            <w:vAlign w:val="bottom"/>
          </w:tcPr>
          <w:p>
            <w:pPr>
              <w:spacing w:after="0"/>
              <w:rPr>
                <w:sz w:val="4"/>
                <w:szCs w:val="4"/>
                <w:color w:val="auto"/>
              </w:rPr>
            </w:pPr>
          </w:p>
        </w:tc>
        <w:tc>
          <w:tcPr>
            <w:tcW w:w="84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40" w:type="dxa"/>
            <w:vAlign w:val="bottom"/>
          </w:tcPr>
          <w:p>
            <w:pPr>
              <w:spacing w:after="0"/>
              <w:rPr>
                <w:sz w:val="4"/>
                <w:szCs w:val="4"/>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vMerge w:val="restart"/>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179"/>
        </w:trPr>
        <w:tc>
          <w:tcPr>
            <w:tcW w:w="3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Distributions</w:t>
            </w: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 2025:</w:t>
            </w:r>
          </w:p>
        </w:tc>
        <w:tc>
          <w:tcPr>
            <w:tcW w:w="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48,789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1,182,364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190,847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8,060,427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(4,142,249)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178,969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5,337,211</w:t>
            </w:r>
          </w:p>
        </w:tc>
        <w:tc>
          <w:tcPr>
            <w:tcW w:w="0" w:type="dxa"/>
            <w:vAlign w:val="bottom"/>
          </w:tcPr>
          <w:p>
            <w:pPr>
              <w:spacing w:after="0"/>
              <w:rPr>
                <w:sz w:val="1"/>
                <w:szCs w:val="1"/>
                <w:color w:val="auto"/>
              </w:rPr>
            </w:pPr>
          </w:p>
        </w:tc>
      </w:tr>
      <w:tr>
        <w:trPr>
          <w:trHeight w:val="179"/>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 attributable to Vornado Realty L.P.</w:t>
            </w: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962,616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962,616</w:t>
            </w: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attributable to redeemable partnership units</w:t>
            </w: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(73,788)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(73,788)</w:t>
            </w:r>
          </w:p>
        </w:tc>
        <w:tc>
          <w:tcPr>
            <w:tcW w:w="0" w:type="dxa"/>
            <w:vAlign w:val="bottom"/>
          </w:tcPr>
          <w:p>
            <w:pPr>
              <w:spacing w:after="0"/>
              <w:rPr>
                <w:sz w:val="1"/>
                <w:szCs w:val="1"/>
                <w:color w:val="auto"/>
              </w:rPr>
            </w:pPr>
          </w:p>
        </w:tc>
      </w:tr>
      <w:tr>
        <w:trPr>
          <w:trHeight w:val="133"/>
        </w:trPr>
        <w:tc>
          <w:tcPr>
            <w:tcW w:w="31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Net loss attributable to nonredeemable noncontrolling</w:t>
            </w:r>
          </w:p>
        </w:tc>
        <w:tc>
          <w:tcPr>
            <w:tcW w:w="8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(8,131)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(8,131)</w:t>
            </w:r>
          </w:p>
        </w:tc>
        <w:tc>
          <w:tcPr>
            <w:tcW w:w="0" w:type="dxa"/>
            <w:vAlign w:val="bottom"/>
          </w:tcPr>
          <w:p>
            <w:pPr>
              <w:spacing w:after="0"/>
              <w:rPr>
                <w:sz w:val="1"/>
                <w:szCs w:val="1"/>
                <w:color w:val="auto"/>
              </w:rPr>
            </w:pPr>
          </w:p>
        </w:tc>
      </w:tr>
      <w:tr>
        <w:trPr>
          <w:trHeight w:val="179"/>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interests in consolidated subsidiaries</w:t>
            </w:r>
          </w:p>
        </w:tc>
        <w:tc>
          <w:tcPr>
            <w:tcW w:w="8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160" w:type="dxa"/>
            <w:vAlign w:val="bottom"/>
            <w:gridSpan w:val="2"/>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Distributions to preferred unitholders (see Note 11 for</w:t>
            </w:r>
          </w:p>
        </w:tc>
        <w:tc>
          <w:tcPr>
            <w:tcW w:w="8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(46,578)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(46,578)</w:t>
            </w:r>
          </w:p>
        </w:tc>
        <w:tc>
          <w:tcPr>
            <w:tcW w:w="0" w:type="dxa"/>
            <w:vAlign w:val="bottom"/>
          </w:tcPr>
          <w:p>
            <w:pPr>
              <w:spacing w:after="0"/>
              <w:rPr>
                <w:sz w:val="1"/>
                <w:szCs w:val="1"/>
                <w:color w:val="auto"/>
              </w:rPr>
            </w:pPr>
          </w:p>
        </w:tc>
      </w:tr>
      <w:tr>
        <w:trPr>
          <w:trHeight w:val="185"/>
        </w:trPr>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distributions per unit amounts)</w:t>
            </w:r>
          </w:p>
        </w:tc>
        <w:tc>
          <w:tcPr>
            <w:tcW w:w="80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4"/>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Class A units issued to Vornado:</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160" w:type="dxa"/>
            <w:vAlign w:val="bottom"/>
            <w:gridSpan w:val="2"/>
            <w:shd w:val="clear" w:color="auto" w:fill="CCEEFF"/>
          </w:tcPr>
          <w:p>
            <w:pPr>
              <w:ind w:left="100"/>
              <w:spacing w:after="0" w:line="139" w:lineRule="exact"/>
              <w:rPr>
                <w:sz w:val="20"/>
                <w:szCs w:val="20"/>
                <w:color w:val="auto"/>
              </w:rPr>
            </w:pPr>
            <w:r>
              <w:rPr>
                <w:rFonts w:ascii="Times New Roman" w:cs="Times New Roman" w:eastAsia="Times New Roman" w:hAnsi="Times New Roman"/>
                <w:sz w:val="13"/>
                <w:szCs w:val="13"/>
                <w:color w:val="auto"/>
              </w:rPr>
              <w:t>Upon redemption of redeemable Class A units, at</w:t>
            </w:r>
          </w:p>
        </w:tc>
        <w:tc>
          <w:tcPr>
            <w:tcW w:w="8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49,129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49,129</w:t>
            </w:r>
          </w:p>
        </w:tc>
        <w:tc>
          <w:tcPr>
            <w:tcW w:w="0" w:type="dxa"/>
            <w:vAlign w:val="bottom"/>
          </w:tcPr>
          <w:p>
            <w:pPr>
              <w:spacing w:after="0"/>
              <w:rPr>
                <w:sz w:val="1"/>
                <w:szCs w:val="1"/>
                <w:color w:val="auto"/>
              </w:rPr>
            </w:pPr>
          </w:p>
        </w:tc>
      </w:tr>
      <w:tr>
        <w:trPr>
          <w:trHeight w:val="185"/>
        </w:trPr>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redemption value</w:t>
            </w:r>
          </w:p>
        </w:tc>
        <w:tc>
          <w:tcPr>
            <w:tcW w:w="80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4"/>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1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Under Vornado’s employees’ share option plan</w:t>
            </w: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Contributions</w:t>
            </w: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w:t>
            </w:r>
          </w:p>
        </w:tc>
        <w:tc>
          <w:tcPr>
            <w:tcW w:w="0" w:type="dxa"/>
            <w:vAlign w:val="bottom"/>
          </w:tcPr>
          <w:p>
            <w:pPr>
              <w:spacing w:after="0"/>
              <w:rPr>
                <w:sz w:val="1"/>
                <w:szCs w:val="1"/>
                <w:color w:val="auto"/>
              </w:rPr>
            </w:pPr>
          </w:p>
        </w:tc>
      </w:tr>
      <w:tr>
        <w:trPr>
          <w:trHeight w:val="179"/>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Distributions</w:t>
            </w: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0" w:type="dxa"/>
            <w:vAlign w:val="bottom"/>
          </w:tcPr>
          <w:p>
            <w:pPr>
              <w:spacing w:after="0"/>
              <w:rPr>
                <w:sz w:val="1"/>
                <w:szCs w:val="1"/>
                <w:color w:val="auto"/>
              </w:rPr>
            </w:pPr>
          </w:p>
        </w:tc>
      </w:tr>
      <w:tr>
        <w:trPr>
          <w:trHeight w:val="139"/>
        </w:trPr>
        <w:tc>
          <w:tcPr>
            <w:tcW w:w="3160" w:type="dxa"/>
            <w:vAlign w:val="bottom"/>
            <w:gridSpan w:val="2"/>
            <w:shd w:val="clear" w:color="auto" w:fill="CCEEFF"/>
          </w:tcPr>
          <w:p>
            <w:pPr>
              <w:ind w:left="20"/>
              <w:spacing w:after="0" w:line="139" w:lineRule="exact"/>
              <w:rPr>
                <w:sz w:val="20"/>
                <w:szCs w:val="20"/>
                <w:color w:val="auto"/>
              </w:rPr>
            </w:pPr>
            <w:r>
              <w:rPr>
                <w:rFonts w:ascii="Times New Roman" w:cs="Times New Roman" w:eastAsia="Times New Roman" w:hAnsi="Times New Roman"/>
                <w:sz w:val="13"/>
                <w:szCs w:val="13"/>
                <w:color w:val="auto"/>
              </w:rPr>
              <w:t>Other comprehensive loss of nonconsolidated</w:t>
            </w:r>
          </w:p>
        </w:tc>
        <w:tc>
          <w:tcPr>
            <w:tcW w:w="8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(11,121)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(11,121)</w:t>
            </w:r>
          </w:p>
        </w:tc>
        <w:tc>
          <w:tcPr>
            <w:tcW w:w="0" w:type="dxa"/>
            <w:vAlign w:val="bottom"/>
          </w:tcPr>
          <w:p>
            <w:pPr>
              <w:spacing w:after="0"/>
              <w:rPr>
                <w:sz w:val="1"/>
                <w:szCs w:val="1"/>
                <w:color w:val="auto"/>
              </w:rPr>
            </w:pPr>
          </w:p>
        </w:tc>
      </w:tr>
      <w:tr>
        <w:trPr>
          <w:trHeight w:val="185"/>
        </w:trPr>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subsidiaries</w:t>
            </w:r>
          </w:p>
        </w:tc>
        <w:tc>
          <w:tcPr>
            <w:tcW w:w="80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4"/>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1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Change in fair value of consolidated interest rate</w:t>
            </w:r>
          </w:p>
        </w:tc>
        <w:tc>
          <w:tcPr>
            <w:tcW w:w="8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(48,183)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(48,183)</w:t>
            </w:r>
          </w:p>
        </w:tc>
        <w:tc>
          <w:tcPr>
            <w:tcW w:w="0" w:type="dxa"/>
            <w:vAlign w:val="bottom"/>
          </w:tcPr>
          <w:p>
            <w:pPr>
              <w:spacing w:after="0"/>
              <w:rPr>
                <w:sz w:val="1"/>
                <w:szCs w:val="1"/>
                <w:color w:val="auto"/>
              </w:rPr>
            </w:pPr>
          </w:p>
        </w:tc>
      </w:tr>
      <w:tr>
        <w:trPr>
          <w:trHeight w:val="179"/>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hedges and other</w:t>
            </w:r>
          </w:p>
        </w:tc>
        <w:tc>
          <w:tcPr>
            <w:tcW w:w="8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Redeemable Class A unit measurement adjustment</w:t>
            </w: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70,191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70,160</w:t>
            </w:r>
          </w:p>
        </w:tc>
        <w:tc>
          <w:tcPr>
            <w:tcW w:w="0" w:type="dxa"/>
            <w:vAlign w:val="bottom"/>
          </w:tcPr>
          <w:p>
            <w:pPr>
              <w:spacing w:after="0"/>
              <w:rPr>
                <w:sz w:val="1"/>
                <w:szCs w:val="1"/>
                <w:color w:val="auto"/>
              </w:rPr>
            </w:pPr>
          </w:p>
        </w:tc>
      </w:tr>
      <w:tr>
        <w:trPr>
          <w:trHeight w:val="133"/>
        </w:trPr>
        <w:tc>
          <w:tcPr>
            <w:tcW w:w="31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Other comprehensive loss attributable to</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Redeemable partnership units</w:t>
            </w: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4,780</w:t>
            </w:r>
          </w:p>
        </w:tc>
        <w:tc>
          <w:tcPr>
            <w:tcW w:w="0" w:type="dxa"/>
            <w:vAlign w:val="bottom"/>
          </w:tcPr>
          <w:p>
            <w:pPr>
              <w:spacing w:after="0"/>
              <w:rPr>
                <w:sz w:val="1"/>
                <w:szCs w:val="1"/>
                <w:color w:val="auto"/>
              </w:rPr>
            </w:pPr>
          </w:p>
        </w:tc>
      </w:tr>
      <w:tr>
        <w:trPr>
          <w:trHeight w:val="179"/>
        </w:trPr>
        <w:tc>
          <w:tcPr>
            <w:tcW w:w="31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5"/>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0" w:type="dxa"/>
            <w:vAlign w:val="bottom"/>
          </w:tcPr>
          <w:p>
            <w:pPr>
              <w:spacing w:after="0"/>
              <w:rPr>
                <w:sz w:val="1"/>
                <w:szCs w:val="1"/>
                <w:color w:val="auto"/>
              </w:rPr>
            </w:pPr>
          </w:p>
        </w:tc>
      </w:tr>
      <w:tr>
        <w:trPr>
          <w:trHeight w:val="185"/>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September 30, 2025</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48,789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1,182,364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192,055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8,179,788</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(3,300,001)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170,202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6,236,326</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L.P.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60" w:type="dxa"/>
            <w:vAlign w:val="bottom"/>
          </w:tcPr>
          <w:p>
            <w:pPr>
              <w:spacing w:after="0"/>
              <w:rPr>
                <w:sz w:val="16"/>
                <w:szCs w:val="16"/>
                <w:color w:val="auto"/>
              </w:rPr>
            </w:pPr>
          </w:p>
        </w:tc>
        <w:tc>
          <w:tcPr>
            <w:tcW w:w="3180" w:type="dxa"/>
            <w:vAlign w:val="bottom"/>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4"/>
        </w:trPr>
        <w:tc>
          <w:tcPr>
            <w:tcW w:w="7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5"/>
        </w:trPr>
        <w:tc>
          <w:tcPr>
            <w:tcW w:w="7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4"/>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9"/>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(loss) income</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(28,794)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932,290</w:t>
            </w:r>
          </w:p>
        </w:tc>
      </w:tr>
      <w:tr>
        <w:trPr>
          <w:trHeight w:val="191"/>
        </w:trPr>
        <w:tc>
          <w:tcPr>
            <w:tcW w:w="7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 (including amortization of deferred financing costs)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474,631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363,383</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Equity in net income of partially owned entities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(99,335)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(135,588)</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Distributions of income from partially owned entities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86,015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80,548</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Straight-lining of rents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(77,012)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(44,235)</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on debt extinguishment</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(32,073)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17,983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19,114</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 in deferred tax liability</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of below-market leases, net</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interest rate cap premiums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20,387</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Prepaid lease payment (net of initial direct costs)</w:t>
            </w:r>
          </w:p>
        </w:tc>
        <w:tc>
          <w:tcPr>
            <w:tcW w:w="26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901,409</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on sales-type lease</w:t>
            </w:r>
          </w:p>
        </w:tc>
        <w:tc>
          <w:tcPr>
            <w:tcW w:w="2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(803,248)</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gains on disposition of wholly owned and partially owned assets</w:t>
            </w:r>
          </w:p>
        </w:tc>
        <w:tc>
          <w:tcPr>
            <w:tcW w:w="26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(24,039)</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non-cash adjustments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6"/>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Tenant and other receivables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(37,335)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(30,318)</w:t>
            </w:r>
          </w:p>
        </w:tc>
      </w:tr>
      <w:tr>
        <w:trPr>
          <w:trHeight w:val="191"/>
        </w:trPr>
        <w:tc>
          <w:tcPr>
            <w:tcW w:w="7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Prepaid assets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(67,342)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(52,554)</w:t>
            </w:r>
          </w:p>
        </w:tc>
      </w:tr>
      <w:tr>
        <w:trPr>
          <w:trHeight w:val="206"/>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(25,252)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(94,291)</w:t>
            </w:r>
          </w:p>
        </w:tc>
      </w:tr>
      <w:tr>
        <w:trPr>
          <w:trHeight w:val="191"/>
        </w:trPr>
        <w:tc>
          <w:tcPr>
            <w:tcW w:w="7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Lease liabilities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(41,303)</w:t>
            </w:r>
          </w:p>
        </w:tc>
      </w:tr>
      <w:tr>
        <w:trPr>
          <w:trHeight w:val="206"/>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45,248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20,519</w:t>
            </w:r>
          </w:p>
        </w:tc>
      </w:tr>
      <w:tr>
        <w:trPr>
          <w:trHeight w:val="192"/>
        </w:trPr>
        <w:tc>
          <w:tcPr>
            <w:tcW w:w="78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(2,718)</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(2,849)</w:t>
            </w:r>
          </w:p>
        </w:tc>
      </w:tr>
      <w:tr>
        <w:trPr>
          <w:trHeight w:val="199"/>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262,997</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1,112,112</w:t>
            </w:r>
          </w:p>
        </w:tc>
      </w:tr>
      <w:tr>
        <w:trPr>
          <w:trHeight w:val="41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9"/>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Investments in partially owned entities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(297,123)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(29,162)</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Additions to real estate</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(185,549)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(211,461)</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Acquisitions of real estate and other</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(170,319)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(245,251)</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Development costs and construction in progress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(88,361)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(117,404)</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repayment of loan receivable</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sales of real estate and other</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49,750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25,675</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Distributions of capital from partially owned entities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47,288</w:t>
            </w: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partial redemption of Fifth Avenue and Times Square JV preferred equity</w:t>
            </w:r>
          </w:p>
        </w:tc>
        <w:tc>
          <w:tcPr>
            <w:tcW w:w="26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749,000</w:t>
            </w: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Investment in loan receivable</w:t>
            </w:r>
          </w:p>
        </w:tc>
        <w:tc>
          <w:tcPr>
            <w:tcW w:w="2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w:t>
            </w:r>
          </w:p>
        </w:tc>
      </w:tr>
      <w:tr>
        <w:trPr>
          <w:trHeight w:val="192"/>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sale of condominium units and ancillary amenities at 220 Central Park South</w:t>
            </w:r>
          </w:p>
        </w:tc>
        <w:tc>
          <w:tcPr>
            <w:tcW w:w="26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24,839</w:t>
            </w:r>
          </w:p>
        </w:tc>
      </w:tr>
      <w:tr>
        <w:trPr>
          <w:trHeight w:val="192"/>
        </w:trPr>
        <w:tc>
          <w:tcPr>
            <w:tcW w:w="78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(600,539)</w:t>
            </w: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208,524</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L.P.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60" w:type="dxa"/>
            <w:vAlign w:val="bottom"/>
          </w:tcPr>
          <w:p>
            <w:pPr>
              <w:spacing w:after="0"/>
              <w:rPr>
                <w:sz w:val="16"/>
                <w:szCs w:val="16"/>
                <w:color w:val="auto"/>
              </w:rPr>
            </w:pPr>
          </w:p>
        </w:tc>
        <w:tc>
          <w:tcPr>
            <w:tcW w:w="3180" w:type="dxa"/>
            <w:vAlign w:val="bottom"/>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borrowings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1,714,781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835,420</w:t>
            </w:r>
          </w:p>
        </w:tc>
        <w:tc>
          <w:tcPr>
            <w:tcW w:w="0" w:type="dxa"/>
            <w:vAlign w:val="bottom"/>
          </w:tcPr>
          <w:p>
            <w:pPr>
              <w:spacing w:after="0"/>
              <w:rPr>
                <w:sz w:val="1"/>
                <w:szCs w:val="1"/>
                <w:color w:val="auto"/>
              </w:rPr>
            </w:pP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Repayments of borrowings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(1,415,569)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(1,900,683)</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Repurchase of Class A units owned by Vornado</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(133,396)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Distributions to preferred unitholders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(46,575)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(46,578)</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financing costs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(34,250)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(6,809)</w:t>
            </w:r>
          </w:p>
        </w:tc>
        <w:tc>
          <w:tcPr>
            <w:tcW w:w="0" w:type="dxa"/>
            <w:vAlign w:val="bottom"/>
          </w:tcPr>
          <w:p>
            <w:pPr>
              <w:spacing w:after="0"/>
              <w:rPr>
                <w:sz w:val="1"/>
                <w:szCs w:val="1"/>
                <w:color w:val="auto"/>
              </w:rPr>
            </w:pP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Distributions to redeemable security holders and noncontrolling interests in consolidated subsidiaries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Contributions from noncontrolling interests in consolidated subsidiaries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 financing activity, net</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83,831</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(1,118,160)</w:t>
            </w:r>
          </w:p>
        </w:tc>
        <w:tc>
          <w:tcPr>
            <w:tcW w:w="0" w:type="dxa"/>
            <w:vAlign w:val="bottom"/>
          </w:tcPr>
          <w:p>
            <w:pPr>
              <w:spacing w:after="0"/>
              <w:rPr>
                <w:sz w:val="1"/>
                <w:szCs w:val="1"/>
                <w:color w:val="auto"/>
              </w:rPr>
            </w:pPr>
          </w:p>
        </w:tc>
      </w:tr>
      <w:tr>
        <w:trPr>
          <w:trHeight w:val="185"/>
        </w:trPr>
        <w:tc>
          <w:tcPr>
            <w:tcW w:w="7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(decrease) increase in cash and cash equivalents and restricted cash</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(253,711)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202,476</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977,546</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949,619</w:t>
            </w:r>
          </w:p>
        </w:tc>
        <w:tc>
          <w:tcPr>
            <w:tcW w:w="0" w:type="dxa"/>
            <w:vAlign w:val="bottom"/>
          </w:tcPr>
          <w:p>
            <w:pPr>
              <w:spacing w:after="0"/>
              <w:rPr>
                <w:sz w:val="1"/>
                <w:szCs w:val="1"/>
                <w:color w:val="auto"/>
              </w:rPr>
            </w:pPr>
          </w:p>
        </w:tc>
      </w:tr>
      <w:tr>
        <w:trPr>
          <w:trHeight w:val="199"/>
        </w:trPr>
        <w:tc>
          <w:tcPr>
            <w:tcW w:w="7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723,835</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1,152,095</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840,850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733,947</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Restricted cash at beginning of period</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136,696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215,672</w:t>
            </w:r>
          </w:p>
        </w:tc>
        <w:tc>
          <w:tcPr>
            <w:tcW w:w="0" w:type="dxa"/>
            <w:vAlign w:val="bottom"/>
          </w:tcPr>
          <w:p>
            <w:pPr>
              <w:spacing w:after="0"/>
              <w:rPr>
                <w:sz w:val="1"/>
                <w:szCs w:val="1"/>
                <w:color w:val="auto"/>
              </w:rPr>
            </w:pPr>
          </w:p>
        </w:tc>
      </w:tr>
      <w:tr>
        <w:trPr>
          <w:trHeight w:val="224"/>
        </w:trPr>
        <w:tc>
          <w:tcPr>
            <w:tcW w:w="7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977,546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949,619</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580,496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1,009,876</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Restricted cash at end of period</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143,339</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142,219</w:t>
            </w:r>
          </w:p>
        </w:tc>
        <w:tc>
          <w:tcPr>
            <w:tcW w:w="0" w:type="dxa"/>
            <w:vAlign w:val="bottom"/>
          </w:tcPr>
          <w:p>
            <w:pPr>
              <w:spacing w:after="0"/>
              <w:rPr>
                <w:sz w:val="1"/>
                <w:szCs w:val="1"/>
                <w:color w:val="auto"/>
              </w:rPr>
            </w:pPr>
          </w:p>
        </w:tc>
      </w:tr>
      <w:tr>
        <w:trPr>
          <w:trHeight w:val="224"/>
        </w:trPr>
        <w:tc>
          <w:tcPr>
            <w:tcW w:w="7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723,835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1,152,095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payments for interest (excluding capitalized interest) and interest rate cap premiums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240,203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234,495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payments for income taxes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9,349</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5,006</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Information:</w:t>
            </w: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Write-off of fully depreciated assets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(76,946)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(86,619)</w:t>
            </w:r>
          </w:p>
        </w:tc>
        <w:tc>
          <w:tcPr>
            <w:tcW w:w="0" w:type="dxa"/>
            <w:vAlign w:val="bottom"/>
          </w:tcPr>
          <w:p>
            <w:pPr>
              <w:spacing w:after="0"/>
              <w:rPr>
                <w:sz w:val="1"/>
                <w:szCs w:val="1"/>
                <w:color w:val="auto"/>
              </w:rPr>
            </w:pP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capital expenditures included in accounts payable and accrued expenses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50,541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30,250</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Forgiveness of mortgage principal</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fair value of consolidated interest rate hedges and other</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(48,183)</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Redeemable Class A unit measurement adjustment</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70,160</w:t>
            </w:r>
          </w:p>
        </w:tc>
        <w:tc>
          <w:tcPr>
            <w:tcW w:w="0" w:type="dxa"/>
            <w:vAlign w:val="bottom"/>
          </w:tcPr>
          <w:p>
            <w:pPr>
              <w:spacing w:after="0"/>
              <w:rPr>
                <w:sz w:val="1"/>
                <w:szCs w:val="1"/>
                <w:color w:val="auto"/>
              </w:rPr>
            </w:pPr>
          </w:p>
        </w:tc>
      </w:tr>
      <w:tr>
        <w:trPr>
          <w:trHeight w:val="191"/>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Decrease in assets and liabilities resulting from the derecognition of 770 Broadway:</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Real estate</w:t>
            </w:r>
          </w:p>
        </w:tc>
        <w:tc>
          <w:tcPr>
            <w:tcW w:w="2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172,120</w:t>
            </w:r>
          </w:p>
        </w:tc>
        <w:tc>
          <w:tcPr>
            <w:tcW w:w="0" w:type="dxa"/>
            <w:vAlign w:val="bottom"/>
          </w:tcPr>
          <w:p>
            <w:pPr>
              <w:spacing w:after="0"/>
              <w:rPr>
                <w:sz w:val="1"/>
                <w:szCs w:val="1"/>
                <w:color w:val="auto"/>
              </w:rPr>
            </w:pPr>
          </w:p>
        </w:tc>
      </w:tr>
      <w:tr>
        <w:trPr>
          <w:trHeight w:val="191"/>
        </w:trPr>
        <w:tc>
          <w:tcPr>
            <w:tcW w:w="78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Receivable arising from the straight-lining of rents</w:t>
            </w:r>
          </w:p>
        </w:tc>
        <w:tc>
          <w:tcPr>
            <w:tcW w:w="26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26,362</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Deferred leasing costs, net of accumulated amortization</w:t>
            </w:r>
          </w:p>
        </w:tc>
        <w:tc>
          <w:tcPr>
            <w:tcW w:w="2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60,308</w:t>
            </w:r>
          </w:p>
        </w:tc>
        <w:tc>
          <w:tcPr>
            <w:tcW w:w="0" w:type="dxa"/>
            <w:vAlign w:val="bottom"/>
          </w:tcPr>
          <w:p>
            <w:pPr>
              <w:spacing w:after="0"/>
              <w:rPr>
                <w:sz w:val="1"/>
                <w:szCs w:val="1"/>
                <w:color w:val="auto"/>
              </w:rPr>
            </w:pPr>
          </w:p>
        </w:tc>
      </w:tr>
      <w:tr>
        <w:trPr>
          <w:trHeight w:val="191"/>
        </w:trPr>
        <w:tc>
          <w:tcPr>
            <w:tcW w:w="78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7,322</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Reclassification of assets held for sale (included in "other assets")</w:t>
            </w:r>
          </w:p>
        </w:tc>
        <w:tc>
          <w:tcPr>
            <w:tcW w:w="2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VORNADO REALTY TRUST AND VORNADO REALTY L.P.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6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Vornado Realty Trust (“Vornado”) is a fully-integrated real estate investment trust (“REIT”) and conducts its business through, and substantially all of its interests in properties are held by, Vornado Realty L.P. (the “Operating Partnership”), a Delaware limited partnership. Vornado is the sole general partner of and owned approximately 91.2% of the common limited partnership interest in the Operating Partnership as of September 30, 2026. All references to the “Company,” “we,” “us” and “our” mean, collectively, Vornado, the Operating Partnership and those subsidiaries consolidated by Vornado.</w:t>
      </w:r>
    </w:p>
    <w:p>
      <w:pPr>
        <w:spacing w:after="0" w:line="5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6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accompanying consolidated financial statements are unaudited and include the accounts of Vornado and the Operating Partnership and their consolidated subsidiaries. All adjustments (which include only normal recurring adjustments) necessary to present fairly the financial position, results of operations and changes in cash flows have been made. Certain information and footnote disclosures normally included in financial statements prepared in accordance with accounting principles generally accepted in the United States of America (“GAAP”) have been condensed or omitted. These consolidated financial statements have been prepared in accordance with the instructions to Form 10-Q of the Securities and Exchange Commission (“SEC”) and should be read in conjunction with the consolidated financial statements and notes thereto included in our Annual Report on Form 10-K for the year ended December 31, 2025, as filed with the SEC.</w:t>
      </w:r>
    </w:p>
    <w:p>
      <w:pPr>
        <w:spacing w:after="0" w:line="2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made estimates and assumptions that affect the reported amounts of assets and liabilities, disclosure of contingent assets and liabilities at the date of the consolidated financial statements and the reported amounts of revenues and expenses during the reporting periods. Actual results could differ from those estimates. The results of operations for the three and nine months ended September 30, 2026 are not necessarily indicative of the operating results for the full year. In addition, certain prior year balances have been reclassified in order to conform to the current period presentation.</w:t>
      </w:r>
    </w:p>
    <w:p>
      <w:pPr>
        <w:spacing w:after="0" w:line="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During the first quarter of 2026, the Company reclassified certain properties to our Other segment to align with changes in internal reporting used by the chief operating decision maker ("CODM") for assessing performance and allocating resources. Prior period segment disclosures have been recast to conform to the current presentation. These changes primarily impacted Note 4 -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and Note 19 -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w:t>
      </w:r>
    </w:p>
    <w:p>
      <w:pPr>
        <w:spacing w:after="0" w:line="7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Recently Issued Accounting Literature</w:t>
      </w:r>
    </w:p>
    <w:p>
      <w:pPr>
        <w:spacing w:after="0" w:line="45"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w:t>
      </w:r>
      <w:r>
        <w:rPr>
          <w:rFonts w:ascii="Times New Roman" w:cs="Times New Roman" w:eastAsia="Times New Roman" w:hAnsi="Times New Roman"/>
          <w:sz w:val="18"/>
          <w:szCs w:val="18"/>
          <w:i w:val="1"/>
          <w:iCs w:val="1"/>
          <w:color w:val="auto"/>
        </w:rPr>
        <w:t>Income Statement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Comprehensive Income - Expense Disaggregation Disclosures (Subtopic 220-40): Disaggregation of Income Statement Expenses </w:t>
      </w:r>
      <w:r>
        <w:rPr>
          <w:rFonts w:ascii="Times New Roman" w:cs="Times New Roman" w:eastAsia="Times New Roman" w:hAnsi="Times New Roman"/>
          <w:sz w:val="18"/>
          <w:szCs w:val="18"/>
          <w:color w:val="auto"/>
        </w:rPr>
        <w:t>(“ASU 2024-03”),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in January 2025, the FASB issued ASU 2025-01,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Clarifying the Effective Date </w:t>
      </w:r>
      <w:r>
        <w:rPr>
          <w:rFonts w:ascii="Times New Roman" w:cs="Times New Roman" w:eastAsia="Times New Roman" w:hAnsi="Times New Roman"/>
          <w:sz w:val="18"/>
          <w:szCs w:val="18"/>
          <w:color w:val="auto"/>
        </w:rPr>
        <w:t>("ASU 2025-01"). ASU 2024-03 requires additional disclosure of the nature of expenses included in the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as well as disclosures about specific types of expenses included in the expense captions presented in the income statement. ASU 2024-03, as clarified by ASU 2025-01, is effective for fiscal years beginning after December 15, 2026, and interim periods within fiscal years beginning after December 15, 2027, with early adoption permitted. We are currently evaluating the impact of these standards on our consolidated financial statements.</w:t>
      </w:r>
    </w:p>
    <w:p>
      <w:pPr>
        <w:spacing w:after="0" w:line="6" w:lineRule="exact"/>
        <w:rPr>
          <w:sz w:val="20"/>
          <w:szCs w:val="20"/>
          <w:color w:val="auto"/>
        </w:rPr>
      </w:pPr>
    </w:p>
    <w:p>
      <w:pPr>
        <w:jc w:val="both"/>
        <w:ind w:firstLine="318"/>
        <w:spacing w:after="0" w:line="23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the Accounting for Internal-Use Software </w:t>
      </w:r>
      <w:r>
        <w:rPr>
          <w:rFonts w:ascii="Times New Roman" w:cs="Times New Roman" w:eastAsia="Times New Roman" w:hAnsi="Times New Roman"/>
          <w:sz w:val="18"/>
          <w:szCs w:val="18"/>
          <w:color w:val="auto"/>
        </w:rPr>
        <w:t>(“ASU 2025-06”). This ASU updates the cost capitalization threshold for internal-use software development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removing all references to software project development stages and providing new guidance on how to evaluate whether the probable-to-complete recognition threshold has been met. ASU 2025-06 is effective for all entities for annual reporting periods beginning after December 15, 2027, with early adoption permitted. Entities may apply the guidance prospectively, retrospectively, or via a modified prospective transition method. We are currently evaluating the impact of this standard on our consolidated financial statements.</w:t>
      </w:r>
    </w:p>
    <w:p>
      <w:pPr>
        <w:spacing w:after="0" w:line="19"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 xml:space="preserve">In November 2025, the FASB issued ASU 2025-09, </w:t>
      </w:r>
      <w:r>
        <w:rPr>
          <w:rFonts w:ascii="Times New Roman" w:cs="Times New Roman" w:eastAsia="Times New Roman" w:hAnsi="Times New Roman"/>
          <w:sz w:val="18"/>
          <w:szCs w:val="18"/>
          <w:i w:val="1"/>
          <w:iCs w:val="1"/>
          <w:color w:val="auto"/>
        </w:rPr>
        <w:t>Derivatives and Hedging (Topic 815)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Hedge Accounting Improvements</w:t>
      </w:r>
      <w:r>
        <w:rPr>
          <w:rFonts w:ascii="Times New Roman" w:cs="Times New Roman" w:eastAsia="Times New Roman" w:hAnsi="Times New Roman"/>
          <w:sz w:val="18"/>
          <w:szCs w:val="18"/>
          <w:color w:val="auto"/>
        </w:rPr>
        <w:t xml:space="preserve"> ("ASU 2025-09"). This ASU amends the existing requirements to allow individual forecasted transactions to be hedged in a group if they have similar risk exposure and introduces an alternative model for the application of hedge accounting to cash flow hedges of forecasted interest payments on choose-your-rate debt instruments. Further, the ASU permits an entity to designate a variable price component of a forecasted purchase or sale of a nonfinancial asset if the component is clearly and closely related to the nonfinancial asset being purchased or sold. ASU 2025-09 is effective for all public business entities for annual reporting periods beginning after December 15, 2026, with early adoption permitted. We are currently evaluating the impact of this standard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0" w:name="page21"/>
    <w:bookmarkEnd w:id="20"/>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6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Below is a summary of our revenues by segment. Additional financial information related to these reportable segments for the three and nine months ended September 30, 2026 and 2025 is set forth in Note 19 - </w:t>
      </w:r>
      <w:r>
        <w:rPr>
          <w:rFonts w:ascii="Times New Roman" w:cs="Times New Roman" w:eastAsia="Times New Roman" w:hAnsi="Times New Roman"/>
          <w:sz w:val="18"/>
          <w:szCs w:val="18"/>
          <w:i w:val="1"/>
          <w:iCs w:val="1"/>
          <w:color w:val="auto"/>
        </w:rPr>
        <w:t>Segment Information.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80" w:type="dxa"/>
            <w:vAlign w:val="bottom"/>
          </w:tcPr>
          <w:p>
            <w:pPr>
              <w:spacing w:after="0"/>
              <w:rPr>
                <w:sz w:val="16"/>
                <w:szCs w:val="16"/>
                <w:color w:val="auto"/>
              </w:rPr>
            </w:pPr>
          </w:p>
        </w:tc>
        <w:tc>
          <w:tcPr>
            <w:tcW w:w="4120" w:type="dxa"/>
            <w:vAlign w:val="bottom"/>
            <w:gridSpan w:val="8"/>
          </w:tcPr>
          <w:p>
            <w:pPr>
              <w:jc w:val="center"/>
              <w:ind w:right="534"/>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2026</w:t>
            </w:r>
          </w:p>
        </w:tc>
        <w:tc>
          <w:tcPr>
            <w:tcW w:w="300" w:type="dxa"/>
            <w:vAlign w:val="bottom"/>
          </w:tcPr>
          <w:p>
            <w:pPr>
              <w:spacing w:after="0"/>
              <w:rPr>
                <w:sz w:val="16"/>
                <w:szCs w:val="16"/>
                <w:color w:val="auto"/>
              </w:rPr>
            </w:pPr>
          </w:p>
        </w:tc>
        <w:tc>
          <w:tcPr>
            <w:tcW w:w="4120" w:type="dxa"/>
            <w:vAlign w:val="bottom"/>
            <w:gridSpan w:val="8"/>
          </w:tcPr>
          <w:p>
            <w:pPr>
              <w:jc w:val="center"/>
              <w:ind w:right="534"/>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1220" w:type="dxa"/>
            <w:vAlign w:val="bottom"/>
            <w:gridSpan w:val="2"/>
          </w:tcPr>
          <w:p>
            <w:pPr>
              <w:jc w:val="center"/>
              <w:ind w:right="280"/>
              <w:spacing w:after="0" w:line="192" w:lineRule="exact"/>
              <w:rPr>
                <w:sz w:val="20"/>
                <w:szCs w:val="20"/>
                <w:color w:val="auto"/>
              </w:rPr>
            </w:pPr>
            <w:r>
              <w:rPr>
                <w:rFonts w:ascii="Times New Roman" w:cs="Times New Roman" w:eastAsia="Times New Roman" w:hAnsi="Times New Roman"/>
                <w:sz w:val="14"/>
                <w:szCs w:val="14"/>
                <w:b w:val="1"/>
                <w:bCs w:val="1"/>
                <w:color w:val="auto"/>
                <w:w w:val="93"/>
              </w:rPr>
              <w:t>New York</w:t>
            </w:r>
            <w:r>
              <w:rPr>
                <w:rFonts w:ascii="Times New Roman" w:cs="Times New Roman" w:eastAsia="Times New Roman" w:hAnsi="Times New Roman"/>
                <w:sz w:val="18"/>
                <w:szCs w:val="18"/>
                <w:b w:val="1"/>
                <w:bCs w:val="1"/>
                <w:color w:val="auto"/>
                <w:w w:val="93"/>
                <w:vertAlign w:val="superscript"/>
              </w:rPr>
              <w:t>(1)</w:t>
            </w:r>
          </w:p>
        </w:tc>
        <w:tc>
          <w:tcPr>
            <w:tcW w:w="260" w:type="dxa"/>
            <w:vAlign w:val="bottom"/>
          </w:tcPr>
          <w:p>
            <w:pPr>
              <w:spacing w:after="0"/>
              <w:rPr>
                <w:sz w:val="16"/>
                <w:szCs w:val="16"/>
                <w:color w:val="auto"/>
              </w:rPr>
            </w:pPr>
          </w:p>
        </w:tc>
        <w:tc>
          <w:tcPr>
            <w:tcW w:w="1060" w:type="dxa"/>
            <w:vAlign w:val="bottom"/>
          </w:tcPr>
          <w:p>
            <w:pPr>
              <w:jc w:val="right"/>
              <w:ind w:right="349"/>
              <w:spacing w:after="0" w:line="192" w:lineRule="exact"/>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18"/>
                <w:szCs w:val="18"/>
                <w:b w:val="1"/>
                <w:bCs w:val="1"/>
                <w:color w:val="auto"/>
                <w:vertAlign w:val="superscript"/>
              </w:rPr>
              <w:t>(1)</w:t>
            </w:r>
          </w:p>
        </w:tc>
        <w:tc>
          <w:tcPr>
            <w:tcW w:w="2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1240" w:type="dxa"/>
            <w:vAlign w:val="bottom"/>
            <w:gridSpan w:val="2"/>
          </w:tcPr>
          <w:p>
            <w:pPr>
              <w:jc w:val="center"/>
              <w:ind w:right="300"/>
              <w:spacing w:after="0" w:line="192" w:lineRule="exact"/>
              <w:rPr>
                <w:sz w:val="20"/>
                <w:szCs w:val="20"/>
                <w:color w:val="auto"/>
              </w:rPr>
            </w:pPr>
            <w:r>
              <w:rPr>
                <w:rFonts w:ascii="Times New Roman" w:cs="Times New Roman" w:eastAsia="Times New Roman" w:hAnsi="Times New Roman"/>
                <w:sz w:val="14"/>
                <w:szCs w:val="14"/>
                <w:b w:val="1"/>
                <w:bCs w:val="1"/>
                <w:color w:val="auto"/>
                <w:w w:val="93"/>
              </w:rPr>
              <w:t>New York</w:t>
            </w:r>
            <w:r>
              <w:rPr>
                <w:rFonts w:ascii="Times New Roman" w:cs="Times New Roman" w:eastAsia="Times New Roman" w:hAnsi="Times New Roman"/>
                <w:sz w:val="18"/>
                <w:szCs w:val="18"/>
                <w:b w:val="1"/>
                <w:bCs w:val="1"/>
                <w:color w:val="auto"/>
                <w:w w:val="93"/>
                <w:vertAlign w:val="superscript"/>
              </w:rPr>
              <w:t>(1)</w:t>
            </w:r>
          </w:p>
        </w:tc>
        <w:tc>
          <w:tcPr>
            <w:tcW w:w="240" w:type="dxa"/>
            <w:vAlign w:val="bottom"/>
          </w:tcPr>
          <w:p>
            <w:pPr>
              <w:spacing w:after="0"/>
              <w:rPr>
                <w:sz w:val="16"/>
                <w:szCs w:val="16"/>
                <w:color w:val="auto"/>
              </w:rPr>
            </w:pPr>
          </w:p>
        </w:tc>
        <w:tc>
          <w:tcPr>
            <w:tcW w:w="1060" w:type="dxa"/>
            <w:vAlign w:val="bottom"/>
          </w:tcPr>
          <w:p>
            <w:pPr>
              <w:jc w:val="right"/>
              <w:ind w:right="349"/>
              <w:spacing w:after="0" w:line="192" w:lineRule="exact"/>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18"/>
                <w:szCs w:val="18"/>
                <w:b w:val="1"/>
                <w:bCs w:val="1"/>
                <w:color w:val="auto"/>
                <w:vertAlign w:val="superscript"/>
              </w:rPr>
              <w:t>(1)</w:t>
            </w:r>
          </w:p>
        </w:tc>
        <w:tc>
          <w:tcPr>
            <w:tcW w:w="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rentals</w:t>
            </w:r>
          </w:p>
        </w:tc>
        <w:tc>
          <w:tcPr>
            <w:tcW w:w="28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377,816</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308,393</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69,423</w:t>
            </w:r>
          </w:p>
        </w:tc>
        <w:tc>
          <w:tcPr>
            <w:tcW w:w="2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360,416</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289,380</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71,036</w:t>
            </w:r>
          </w:p>
        </w:tc>
        <w:tc>
          <w:tcPr>
            <w:tcW w:w="2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Trade shows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7,847</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6,956</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Sales-type lease income</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420" w:type="dxa"/>
            <w:vAlign w:val="bottom"/>
            <w:gridSpan w:val="2"/>
          </w:tcPr>
          <w:p>
            <w:pPr>
              <w:ind w:left="340"/>
              <w:spacing w:after="0" w:line="192" w:lineRule="exact"/>
              <w:rPr>
                <w:sz w:val="20"/>
                <w:szCs w:val="20"/>
                <w:color w:val="auto"/>
              </w:rPr>
            </w:pPr>
            <w:r>
              <w:rPr>
                <w:rFonts w:ascii="Times New Roman" w:cs="Times New Roman" w:eastAsia="Times New Roman" w:hAnsi="Times New Roman"/>
                <w:sz w:val="14"/>
                <w:szCs w:val="14"/>
                <w:color w:val="auto"/>
              </w:rPr>
              <w:t>Lease revenues</w:t>
            </w:r>
            <w:r>
              <w:rPr>
                <w:rFonts w:ascii="Times New Roman" w:cs="Times New Roman" w:eastAsia="Times New Roman" w:hAnsi="Times New Roman"/>
                <w:sz w:val="18"/>
                <w:szCs w:val="18"/>
                <w:b w:val="1"/>
                <w:bCs w:val="1"/>
                <w:color w:val="auto"/>
                <w:vertAlign w:val="superscript"/>
              </w:rPr>
              <w:t>(2)</w:t>
            </w: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388,205</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310,935</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77,270</w:t>
            </w:r>
          </w:p>
        </w:tc>
        <w:tc>
          <w:tcPr>
            <w:tcW w:w="2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369,879</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291,887</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77,992</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Tenant services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5,151</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Parking revenues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Rental revenues</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409,621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325,999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83,622</w:t>
            </w:r>
          </w:p>
        </w:tc>
        <w:tc>
          <w:tcPr>
            <w:tcW w:w="2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389,097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305,112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83,985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BMS cleaning fees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(2,729)</w:t>
            </w:r>
          </w:p>
        </w:tc>
        <w:tc>
          <w:tcPr>
            <w:tcW w:w="280" w:type="dxa"/>
            <w:vAlign w:val="bottom"/>
          </w:tcPr>
          <w:p>
            <w:pPr>
              <w:jc w:val="right"/>
              <w:ind w:right="114"/>
              <w:spacing w:after="0" w:line="102" w:lineRule="exact"/>
              <w:rPr>
                <w:sz w:val="20"/>
                <w:szCs w:val="20"/>
                <w:color w:val="auto"/>
              </w:rPr>
            </w:pPr>
            <w:r>
              <w:rPr>
                <w:rFonts w:ascii="Times New Roman" w:cs="Times New Roman" w:eastAsia="Times New Roman" w:hAnsi="Times New Roman"/>
                <w:sz w:val="9"/>
                <w:szCs w:val="9"/>
                <w:b w:val="1"/>
                <w:bCs w:val="1"/>
                <w:color w:val="auto"/>
                <w:w w:val="94"/>
              </w:rPr>
              <w:t>(3)</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44,902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w:t>
            </w:r>
          </w:p>
        </w:tc>
        <w:tc>
          <w:tcPr>
            <w:tcW w:w="280" w:type="dxa"/>
            <w:vAlign w:val="bottom"/>
          </w:tcPr>
          <w:p>
            <w:pPr>
              <w:jc w:val="right"/>
              <w:ind w:right="114"/>
              <w:spacing w:after="0" w:line="102" w:lineRule="exact"/>
              <w:rPr>
                <w:sz w:val="20"/>
                <w:szCs w:val="20"/>
                <w:color w:val="auto"/>
              </w:rPr>
            </w:pPr>
            <w:r>
              <w:rPr>
                <w:rFonts w:ascii="Times New Roman" w:cs="Times New Roman" w:eastAsia="Times New Roman" w:hAnsi="Times New Roman"/>
                <w:sz w:val="9"/>
                <w:szCs w:val="9"/>
                <w:b w:val="1"/>
                <w:bCs w:val="1"/>
                <w:color w:val="auto"/>
                <w:w w:val="94"/>
              </w:rPr>
              <w:t>(3)</w:t>
            </w:r>
          </w:p>
        </w:tc>
        <w:tc>
          <w:tcPr>
            <w:tcW w:w="0" w:type="dxa"/>
            <w:vAlign w:val="bottom"/>
          </w:tcPr>
          <w:p>
            <w:pPr>
              <w:spacing w:after="0"/>
              <w:rPr>
                <w:sz w:val="1"/>
                <w:szCs w:val="1"/>
                <w:color w:val="auto"/>
              </w:rPr>
            </w:pPr>
          </w:p>
        </w:tc>
      </w:tr>
      <w:tr>
        <w:trPr>
          <w:trHeight w:val="206"/>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Management and leasing fees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19,844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13,040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6,804</w:t>
            </w:r>
          </w:p>
        </w:tc>
        <w:tc>
          <w:tcPr>
            <w:tcW w:w="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19,075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12,470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6,605</w:t>
            </w: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Fee and other income</w:t>
            </w: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58,036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54,213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3,823</w:t>
            </w:r>
          </w:p>
        </w:tc>
        <w:tc>
          <w:tcPr>
            <w:tcW w:w="2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64,603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60,542</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4,061</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revenues</w:t>
            </w:r>
          </w:p>
        </w:tc>
        <w:tc>
          <w:tcPr>
            <w:tcW w:w="2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467,657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380,212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87,445</w:t>
            </w:r>
          </w:p>
        </w:tc>
        <w:tc>
          <w:tcPr>
            <w:tcW w:w="28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453,700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365,654</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88,046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w:t>
            </w: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See notes below</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80" w:type="dxa"/>
            <w:vAlign w:val="bottom"/>
          </w:tcPr>
          <w:p>
            <w:pPr>
              <w:spacing w:after="0"/>
              <w:rPr>
                <w:sz w:val="21"/>
                <w:szCs w:val="21"/>
                <w:color w:val="auto"/>
              </w:rPr>
            </w:pPr>
          </w:p>
        </w:tc>
        <w:tc>
          <w:tcPr>
            <w:tcW w:w="4120" w:type="dxa"/>
            <w:vAlign w:val="bottom"/>
            <w:gridSpan w:val="8"/>
          </w:tcPr>
          <w:p>
            <w:pPr>
              <w:jc w:val="center"/>
              <w:ind w:right="53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2026</w:t>
            </w:r>
          </w:p>
        </w:tc>
        <w:tc>
          <w:tcPr>
            <w:tcW w:w="300" w:type="dxa"/>
            <w:vAlign w:val="bottom"/>
          </w:tcPr>
          <w:p>
            <w:pPr>
              <w:spacing w:after="0"/>
              <w:rPr>
                <w:sz w:val="21"/>
                <w:szCs w:val="21"/>
                <w:color w:val="auto"/>
              </w:rPr>
            </w:pPr>
          </w:p>
        </w:tc>
        <w:tc>
          <w:tcPr>
            <w:tcW w:w="4120" w:type="dxa"/>
            <w:vAlign w:val="bottom"/>
            <w:gridSpan w:val="8"/>
          </w:tcPr>
          <w:p>
            <w:pPr>
              <w:jc w:val="center"/>
              <w:ind w:right="53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4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New York</w:t>
            </w:r>
            <w:r>
              <w:rPr>
                <w:rFonts w:ascii="Times New Roman" w:cs="Times New Roman" w:eastAsia="Times New Roman" w:hAnsi="Times New Roman"/>
                <w:sz w:val="9"/>
                <w:szCs w:val="9"/>
                <w:b w:val="1"/>
                <w:bCs w:val="1"/>
                <w:color w:val="auto"/>
                <w:w w:val="97"/>
              </w:rPr>
              <w:t>(1)</w:t>
            </w: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9"/>
                <w:szCs w:val="9"/>
                <w:b w:val="1"/>
                <w:bCs w:val="1"/>
                <w:color w:val="auto"/>
              </w:rPr>
              <w:t>(1)</w:t>
            </w:r>
          </w:p>
        </w:tc>
        <w:tc>
          <w:tcPr>
            <w:tcW w:w="2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New York</w:t>
            </w:r>
            <w:r>
              <w:rPr>
                <w:rFonts w:ascii="Times New Roman" w:cs="Times New Roman" w:eastAsia="Times New Roman" w:hAnsi="Times New Roman"/>
                <w:sz w:val="9"/>
                <w:szCs w:val="9"/>
                <w:b w:val="1"/>
                <w:bCs w:val="1"/>
                <w:color w:val="auto"/>
                <w:w w:val="97"/>
              </w:rPr>
              <w:t>(1)</w:t>
            </w:r>
          </w:p>
        </w:tc>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9"/>
                <w:szCs w:val="9"/>
                <w:b w:val="1"/>
                <w:bCs w:val="1"/>
                <w:color w:val="auto"/>
              </w:rPr>
              <w:t>(1)</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rentals</w:t>
            </w: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1,131,426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927,816</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203,610</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1,103,097</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889,814</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213,283</w:t>
            </w: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Trade shows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21,026</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19,807</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Sales-type lease income</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Lease revenues</w:t>
            </w:r>
            <w:r>
              <w:rPr>
                <w:rFonts w:ascii="Times New Roman" w:cs="Times New Roman" w:eastAsia="Times New Roman" w:hAnsi="Times New Roman"/>
                <w:sz w:val="9"/>
                <w:szCs w:val="9"/>
                <w:b w:val="1"/>
                <w:bCs w:val="1"/>
                <w:color w:val="auto"/>
              </w:rPr>
              <w:t>(2)</w:t>
            </w: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1,160,061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935,425</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224,636</w:t>
            </w:r>
          </w:p>
        </w:tc>
        <w:tc>
          <w:tcPr>
            <w:tcW w:w="2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1,127,005</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893,915</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233,090</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Tenant services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26,785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11,343</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34,177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10,187</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Parking revenues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3,526</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3,265</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Rental revenues</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1,213,878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974,373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239,505</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1,176,104</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929,562</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246,542</w:t>
            </w: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BMS cleaning fees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(7,959)</w:t>
            </w:r>
          </w:p>
        </w:tc>
        <w:tc>
          <w:tcPr>
            <w:tcW w:w="280" w:type="dxa"/>
            <w:vAlign w:val="bottom"/>
          </w:tcPr>
          <w:p>
            <w:pPr>
              <w:jc w:val="right"/>
              <w:ind w:right="114"/>
              <w:spacing w:after="0" w:line="102" w:lineRule="exact"/>
              <w:rPr>
                <w:sz w:val="20"/>
                <w:szCs w:val="20"/>
                <w:color w:val="auto"/>
              </w:rPr>
            </w:pPr>
            <w:r>
              <w:rPr>
                <w:rFonts w:ascii="Times New Roman" w:cs="Times New Roman" w:eastAsia="Times New Roman" w:hAnsi="Times New Roman"/>
                <w:sz w:val="9"/>
                <w:szCs w:val="9"/>
                <w:b w:val="1"/>
                <w:bCs w:val="1"/>
                <w:color w:val="auto"/>
                <w:w w:val="94"/>
              </w:rPr>
              <w:t>(3)</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116,437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123,143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(6,706)</w:t>
            </w:r>
          </w:p>
        </w:tc>
        <w:tc>
          <w:tcPr>
            <w:tcW w:w="280" w:type="dxa"/>
            <w:vAlign w:val="bottom"/>
          </w:tcPr>
          <w:p>
            <w:pPr>
              <w:jc w:val="right"/>
              <w:ind w:right="114"/>
              <w:spacing w:after="0" w:line="102" w:lineRule="exact"/>
              <w:rPr>
                <w:sz w:val="20"/>
                <w:szCs w:val="20"/>
                <w:color w:val="auto"/>
              </w:rPr>
            </w:pPr>
            <w:r>
              <w:rPr>
                <w:rFonts w:ascii="Times New Roman" w:cs="Times New Roman" w:eastAsia="Times New Roman" w:hAnsi="Times New Roman"/>
                <w:sz w:val="9"/>
                <w:szCs w:val="9"/>
                <w:b w:val="1"/>
                <w:bCs w:val="1"/>
                <w:color w:val="auto"/>
                <w:w w:val="94"/>
              </w:rPr>
              <w:t>(3)</w:t>
            </w:r>
          </w:p>
        </w:tc>
        <w:tc>
          <w:tcPr>
            <w:tcW w:w="0" w:type="dxa"/>
            <w:vAlign w:val="bottom"/>
          </w:tcPr>
          <w:p>
            <w:pPr>
              <w:spacing w:after="0"/>
              <w:rPr>
                <w:sz w:val="1"/>
                <w:szCs w:val="1"/>
                <w:color w:val="auto"/>
              </w:rPr>
            </w:pPr>
          </w:p>
        </w:tc>
      </w:tr>
      <w:tr>
        <w:trPr>
          <w:trHeight w:val="206"/>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Management and leasing fees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19,946</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34,492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20,729</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Fee and other income</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175,126</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163,641</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11,485</w:t>
            </w:r>
          </w:p>
        </w:tc>
        <w:tc>
          <w:tcPr>
            <w:tcW w:w="2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180,612</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167,160</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13,452</w:t>
            </w:r>
          </w:p>
        </w:tc>
        <w:tc>
          <w:tcPr>
            <w:tcW w:w="2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revenues</w:t>
            </w:r>
          </w:p>
        </w:tc>
        <w:tc>
          <w:tcPr>
            <w:tcW w:w="280" w:type="dxa"/>
            <w:vAlign w:val="bottom"/>
          </w:tcPr>
          <w:p>
            <w:pPr>
              <w:jc w:val="right"/>
              <w:ind w:right="15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1,389,004</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1,138,014</w:t>
            </w:r>
          </w:p>
        </w:tc>
        <w:tc>
          <w:tcPr>
            <w:tcW w:w="100" w:type="dxa"/>
            <w:vAlign w:val="bottom"/>
          </w:tcPr>
          <w:p>
            <w:pPr>
              <w:spacing w:after="0"/>
              <w:rPr>
                <w:sz w:val="17"/>
                <w:szCs w:val="17"/>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250,990</w:t>
            </w:r>
          </w:p>
        </w:tc>
        <w:tc>
          <w:tcPr>
            <w:tcW w:w="28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1,356,716</w:t>
            </w:r>
          </w:p>
        </w:tc>
        <w:tc>
          <w:tcPr>
            <w:tcW w:w="12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1,096,722</w:t>
            </w:r>
          </w:p>
        </w:tc>
        <w:tc>
          <w:tcPr>
            <w:tcW w:w="12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259,994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2" w:lineRule="exact"/>
        <w:rPr>
          <w:sz w:val="20"/>
          <w:szCs w:val="20"/>
          <w:color w:val="auto"/>
        </w:rPr>
      </w:pPr>
    </w:p>
    <w:p>
      <w:pPr>
        <w:ind w:left="320" w:hanging="314"/>
        <w:spacing w:after="0"/>
        <w:tabs>
          <w:tab w:leader="none" w:pos="32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We have recast certain prior period disclosures to reflect changes to the property composition of our reportable segments. See Note 2 - </w:t>
      </w:r>
      <w:r>
        <w:rPr>
          <w:rFonts w:ascii="Times New Roman" w:cs="Times New Roman" w:eastAsia="Times New Roman" w:hAnsi="Times New Roman"/>
          <w:sz w:val="14"/>
          <w:szCs w:val="14"/>
          <w:i w:val="1"/>
          <w:iCs w:val="1"/>
          <w:color w:val="auto"/>
        </w:rPr>
        <w:t>Basis of Presentation</w:t>
      </w:r>
      <w:r>
        <w:rPr>
          <w:rFonts w:ascii="Times New Roman" w:cs="Times New Roman" w:eastAsia="Times New Roman" w:hAnsi="Times New Roman"/>
          <w:sz w:val="14"/>
          <w:szCs w:val="14"/>
          <w:color w:val="auto"/>
        </w:rPr>
        <w:t xml:space="preserve"> for additional information.</w:t>
      </w:r>
    </w:p>
    <w:p>
      <w:pPr>
        <w:spacing w:after="0" w:line="21"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components of lease revenues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300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20" w:type="dxa"/>
            <w:vAlign w:val="bottom"/>
          </w:tcPr>
          <w:p>
            <w:pPr>
              <w:spacing w:after="0"/>
              <w:rPr>
                <w:sz w:val="16"/>
                <w:szCs w:val="16"/>
                <w:color w:val="auto"/>
              </w:rPr>
            </w:pPr>
          </w:p>
        </w:tc>
        <w:tc>
          <w:tcPr>
            <w:tcW w:w="2780" w:type="dxa"/>
            <w:vAlign w:val="bottom"/>
            <w:gridSpan w:val="4"/>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4"/>
        </w:trPr>
        <w:tc>
          <w:tcPr>
            <w:tcW w:w="49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49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billings</w:t>
            </w:r>
          </w:p>
        </w:tc>
        <w:tc>
          <w:tcPr>
            <w:tcW w:w="84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356,985</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340,797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1,048,908</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1,030,936</w:t>
            </w:r>
          </w:p>
        </w:tc>
      </w:tr>
      <w:tr>
        <w:trPr>
          <w:trHeight w:val="192"/>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Variable billings</w:t>
            </w: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28,678</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26,575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103,544</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91,968</w:t>
            </w:r>
          </w:p>
        </w:tc>
      </w:tr>
      <w:tr>
        <w:trPr>
          <w:trHeight w:val="19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contractual operating lease billings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385,663</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1,152,452</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1,122,904</w:t>
            </w:r>
          </w:p>
        </w:tc>
      </w:tr>
      <w:tr>
        <w:trPr>
          <w:trHeight w:val="192"/>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Sales-type lease income</w:t>
            </w: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7,609</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4,101</w:t>
            </w:r>
          </w:p>
        </w:tc>
      </w:tr>
      <w:tr>
        <w:trPr>
          <w:trHeight w:val="224"/>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revenues</w:t>
            </w:r>
          </w:p>
        </w:tc>
        <w:tc>
          <w:tcPr>
            <w:tcW w:w="84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388,205</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369,879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1,160,061</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1,127,005</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20" w:hanging="314"/>
        <w:spacing w:after="0" w:line="290" w:lineRule="auto"/>
        <w:tabs>
          <w:tab w:leader="none" w:pos="312"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the elimination of Building Maintenance Services LLC ("BMS") cleaning fees related to THE MART and 555 California Street which are included as income in the New York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1" w:name="page22"/>
    <w:bookmarkEnd w:id="21"/>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right="7920" w:hanging="314"/>
        <w:spacing w:after="0" w:line="326" w:lineRule="auto"/>
        <w:tabs>
          <w:tab w:leader="none" w:pos="311"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Investments in Partially Owned Entities </w:t>
      </w:r>
      <w:r>
        <w:rPr>
          <w:rFonts w:ascii="Times New Roman" w:cs="Times New Roman" w:eastAsia="Times New Roman" w:hAnsi="Times New Roman"/>
          <w:sz w:val="17"/>
          <w:szCs w:val="17"/>
          <w:i w:val="1"/>
          <w:iCs w:val="1"/>
          <w:color w:val="auto"/>
        </w:rPr>
        <w:t>Fifth Avenue and Times Square JV</w:t>
      </w:r>
    </w:p>
    <w:p>
      <w:pPr>
        <w:spacing w:after="0" w:line="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of September 30, 2026, we own a 51.5% common interest in a joint venture ("Fifth Avenue and Times Square JV") which owns interests in properties located at 640 Fifth Avenue, 655 Fifth Avenue, 666 Fifth Avenue, 689 Fifth Avenue, 697-703 Fifth Avenue, 1535 Broadway and 1540 Broadway (collectively, the "Properties"). The remaining 48.5% common interest in the joint venture is owned by a group of institutional investors (the "Investors"). Our 51.5% common interest in the joint venture represents an effective 51.0% interest in the Properties. The 48.5% common interest in the joint venture owned by the Investors represents an effective 47.2% interest in the Properties. We provide various services to Fifth Avenue and Times Square JV in accordance with management, development, leasing and other agreements.</w:t>
      </w:r>
    </w:p>
    <w:p>
      <w:pPr>
        <w:spacing w:after="0" w:line="26" w:lineRule="exact"/>
        <w:rPr>
          <w:sz w:val="20"/>
          <w:szCs w:val="20"/>
          <w:color w:val="auto"/>
        </w:rPr>
      </w:pPr>
    </w:p>
    <w:p>
      <w:pPr>
        <w:jc w:val="both"/>
        <w:ind w:firstLine="318"/>
        <w:spacing w:after="0" w:line="292" w:lineRule="auto"/>
        <w:rPr>
          <w:sz w:val="20"/>
          <w:szCs w:val="20"/>
          <w:color w:val="auto"/>
        </w:rPr>
      </w:pPr>
      <w:r>
        <w:rPr>
          <w:rFonts w:ascii="Times New Roman" w:cs="Times New Roman" w:eastAsia="Times New Roman" w:hAnsi="Times New Roman"/>
          <w:sz w:val="17"/>
          <w:szCs w:val="17"/>
          <w:color w:val="auto"/>
        </w:rPr>
        <w:t>We also own $1.079 billion aggregate liquidation preference of preferred equity interests in certain of the properties. The preferred equity has an annual coupon of 4.75% through April 2029, and will then be based on a formulaic rate. It can be redeemed under certain conditions on a tax deferred basis.</w:t>
      </w:r>
    </w:p>
    <w:p>
      <w:pPr>
        <w:spacing w:after="0" w:line="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of September 30, 2026, the carrying amount of our investment in the joint venture was less than our share of the equity in the net assets of the joint venture by approximately $696,893,000, the basis difference primarily resulting from non-cash impairment losses recognized in prior periods. Substantially all of this basis difference was allocated, based on our estimates of the fair values of Fifth Avenue and Times Square JV’s assets and liabilities, to real estate (land and buildings). The basis difference related to the buildings is being amortized over their estimated useful lives and recorded as a component of income from partially owned entities.</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Alexander's, Inc. ("Alexander's") (NYSE: ALX)</w:t>
      </w:r>
    </w:p>
    <w:p>
      <w:pPr>
        <w:spacing w:after="0" w:line="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September 30, 2026, we own 1,654,068 Alexander’s common shares, or approximately 32.4% of Alexander’s common equity. We manage, develop and lease Alexander’s properties pursuant to agreements which expire in March of each year and are automatically renewable. In addition, wholly owned subsidiaries of Vornado provide cleaning, engineering, security, and garage management services to certain Alexander’s properties.</w:t>
      </w:r>
    </w:p>
    <w:p>
      <w:pPr>
        <w:spacing w:after="0" w:line="1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As of September 30, 2026, the market value ("fair value" pursuant to 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820")) of our investment in Alexander’s, based on Alexander’s September 30, 2026 closing share price of $246.50, was $407,728,000, or $323,461,000 in excess of the carrying amount on our consolidated balance sheets. As of September 30, 2026, the carrying amount of our investment in Alexander’s, excluding amounts owed to us, exceeded our share of the equity in the net assets of Alexander’s by approximately $25,197,000. The majority of this basis difference resulted from the excess of our purchase price for the Alexander’s common stock acquired over the book value of Alexander’s net assets. Substantially all of this basis difference was allocated, based on our estimates of the fair values of Alexander’s assets and liabilities, to real estate (land and buildings). The basis difference related to the buildings is being amortized over their estimated useful lives and recorded as a component of income from partially owned entities. This amortization is not material to our share of equity in Alexander’s net income.</w:t>
      </w:r>
    </w:p>
    <w:p>
      <w:pPr>
        <w:spacing w:after="0" w:line="2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May 28, 2026, Alexander’s completed the sale of its Rego Park I property for $235,500,000. As a result of the sale, we recognized our $44,329,000 share of the net gain and received a $2,355,000 sales commission paid by Alexander’s, of which $500,000 was paid to a third-party broker.</w:t>
      </w: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Park Avenue Plaza</w:t>
      </w:r>
    </w:p>
    <w:p>
      <w:pPr>
        <w:spacing w:after="0" w:line="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June 11, 2026, we completed the purchase of a 49.0% interest in Park Avenue Plaza at a gross asset valuation of $1.1 billion ($950 per square foot). We acquired our interest subject to our share of the $575,000,000 loan encumbering the property, resulting in a cash purchase price of approximately $230,000,000, net of seller credits and inclusive of transaction costs. The loan bears interest at a fixed rate of 2.99% and matures in November 2031.</w:t>
      </w:r>
    </w:p>
    <w:p>
      <w:pPr>
        <w:spacing w:after="0" w:line="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Park Avenue Plaza is a 45-story, 1.2 million rentable square foot building located at 55 East 52nd Street. The office building, co-owned by Fisher Brothers, has protected Park Avenue views and occupies the full through-block between East 52nd and East 53rd Street.</w:t>
      </w:r>
    </w:p>
    <w:p>
      <w:pPr>
        <w:spacing w:after="0" w:line="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Fisher Brothers retains its current 51.0% ownership interest and continues to manage and lease the property. Vornado and Fisher Brothers have joint control over major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2" w:name="page23"/>
    <w:bookmarkEnd w:id="22"/>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right="7020" w:hanging="314"/>
        <w:spacing w:after="0" w:line="308" w:lineRule="auto"/>
        <w:tabs>
          <w:tab w:leader="none" w:pos="31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Investments in Partially Owned Entities - continued </w:t>
      </w:r>
      <w:r>
        <w:rPr>
          <w:rFonts w:ascii="Times New Roman" w:cs="Times New Roman" w:eastAsia="Times New Roman" w:hAnsi="Times New Roman"/>
          <w:sz w:val="18"/>
          <w:szCs w:val="18"/>
          <w:i w:val="1"/>
          <w:iCs w:val="1"/>
          <w:color w:val="auto"/>
        </w:rPr>
        <w:t>7 West 34th Street</w:t>
      </w:r>
    </w:p>
    <w:p>
      <w:pPr>
        <w:spacing w:after="0" w:line="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January 23, 2026, a joint venture, in which we have a 53.0% interest, completed a $250,000,000 refinancing of 7 West 34th Street, a 477,000 square foot Manhattan office and retail building. The non-recourse, five-year interest-only mortgage loan matures in February 2031 and has a fixed rate of 5.79%. The joint venture paid down by $50,000,000 the prior $300,000,000 full-recourse loan that bore interest at 3.65% and was scheduled to mature in June 2026. The loan was paid down using property-level reserves and a $25,000,000 member loan from Vornado which accrues interest at 16.00% and receives priority on distributions.</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825 Seventh Avenue Office Condominium</w:t>
      </w:r>
    </w:p>
    <w:p>
      <w:pPr>
        <w:spacing w:after="0" w:line="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January 26, 2026, a joint venture, in which we have a 50.0% interest, entered into a nine-month extension with the lenders on the $54,000,000 mortgage loan encumbering the office condominium of 825 Seventh Avenue and simultaneously paid down the principal balance by $6,000,000 to $48,000,000. The loan was previously scheduled to mature in January 2026. On October 26, 2026, the $48,000,000 non-recourse mortgage loan matured and was not repaid, resulting in a maturity default. The interest-only loan bears interest at a rate of SOFR plus 2.75% and provides for additional default interest of 5.00%.</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61 Ninth Avenue</w:t>
      </w:r>
    </w:p>
    <w:p>
      <w:pPr>
        <w:spacing w:after="0" w:line="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May 8, 2026, a joint venture, in which we have a 45.1% interest, completed a $161,000,000 refinancing of 61 Ninth Avenue. The interest-only mortgage loan matures in June 2028, with a nine-month extension option subject to certain conditions, and bears interest at SOFR plus 3.00% in year one, SOFR plus 3.35% for year two, and SOFR plus 3.85% during the extension period. The refinancing replaced the joint venture’s prior $167,500,000 mortgage loan on the property. On February 2, 2026, the joint venture extended the prior loan’s maturity by seven months and simultaneously paid down the principal balance by $12,500,000 to $155,000,000.</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schedule summarizing our investments in partially owned entities.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 Ownership as</w:t>
            </w:r>
          </w:p>
        </w:tc>
        <w:tc>
          <w:tcPr>
            <w:tcW w:w="160" w:type="dxa"/>
            <w:vAlign w:val="bottom"/>
          </w:tcPr>
          <w:p>
            <w:pPr>
              <w:spacing w:after="0"/>
              <w:rPr>
                <w:sz w:val="16"/>
                <w:szCs w:val="16"/>
                <w:color w:val="auto"/>
              </w:rPr>
            </w:pPr>
          </w:p>
        </w:tc>
        <w:tc>
          <w:tcPr>
            <w:tcW w:w="3280" w:type="dxa"/>
            <w:vAlign w:val="bottom"/>
            <w:gridSpan w:val="4"/>
          </w:tcPr>
          <w:p>
            <w:pPr>
              <w:jc w:val="right"/>
              <w:ind w:right="1249"/>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September 30, 2026</w:t>
            </w: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50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60"/>
        </w:trPr>
        <w:tc>
          <w:tcPr>
            <w:tcW w:w="6120" w:type="dxa"/>
            <w:vAlign w:val="bottom"/>
            <w:vMerge w:val="continue"/>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Fifth Avenue and Times Square JV (see page 22 for details)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1,531,737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1,538,141</w:t>
            </w:r>
          </w:p>
        </w:tc>
        <w:tc>
          <w:tcPr>
            <w:tcW w:w="0" w:type="dxa"/>
            <w:vAlign w:val="bottom"/>
          </w:tcPr>
          <w:p>
            <w:pPr>
              <w:spacing w:after="0"/>
              <w:rPr>
                <w:sz w:val="1"/>
                <w:szCs w:val="1"/>
                <w:color w:val="auto"/>
              </w:rPr>
            </w:pPr>
          </w:p>
        </w:tc>
      </w:tr>
      <w:tr>
        <w:trPr>
          <w:trHeight w:val="199"/>
        </w:trPr>
        <w:tc>
          <w:tcPr>
            <w:tcW w:w="6120" w:type="dxa"/>
            <w:vAlign w:val="bottom"/>
          </w:tcPr>
          <w:p>
            <w:pPr>
              <w:ind w:left="140"/>
              <w:spacing w:after="0" w:line="199" w:lineRule="exact"/>
              <w:rPr>
                <w:sz w:val="20"/>
                <w:szCs w:val="20"/>
                <w:color w:val="auto"/>
              </w:rPr>
            </w:pPr>
            <w:r>
              <w:rPr>
                <w:rFonts w:ascii="Times New Roman" w:cs="Times New Roman" w:eastAsia="Times New Roman" w:hAnsi="Times New Roman"/>
                <w:sz w:val="14"/>
                <w:szCs w:val="14"/>
                <w:color w:val="auto"/>
              </w:rPr>
              <w:t>Partially owned office buildings/land</w:t>
            </w:r>
            <w:r>
              <w:rPr>
                <w:rFonts w:ascii="Times New Roman" w:cs="Times New Roman" w:eastAsia="Times New Roman" w:hAnsi="Times New Roman"/>
                <w:sz w:val="18"/>
                <w:szCs w:val="18"/>
                <w:b w:val="1"/>
                <w:bCs w:val="1"/>
                <w:color w:val="auto"/>
                <w:vertAlign w:val="superscript"/>
              </w:rPr>
              <w:t>(1)</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4"/>
              </w:rPr>
              <w:t>Various</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417,671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148,958</w:t>
            </w:r>
          </w:p>
        </w:tc>
        <w:tc>
          <w:tcPr>
            <w:tcW w:w="0" w:type="dxa"/>
            <w:vAlign w:val="bottom"/>
          </w:tcPr>
          <w:p>
            <w:pPr>
              <w:spacing w:after="0"/>
              <w:rPr>
                <w:sz w:val="1"/>
                <w:szCs w:val="1"/>
                <w:color w:val="auto"/>
              </w:rPr>
            </w:pPr>
          </w:p>
        </w:tc>
      </w:tr>
      <w:tr>
        <w:trPr>
          <w:trHeight w:val="19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Alexander's (see page 22 for details):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84,267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47,276</w:t>
            </w:r>
          </w:p>
        </w:tc>
        <w:tc>
          <w:tcPr>
            <w:tcW w:w="0" w:type="dxa"/>
            <w:vAlign w:val="bottom"/>
          </w:tcPr>
          <w:p>
            <w:pPr>
              <w:spacing w:after="0"/>
              <w:rPr>
                <w:sz w:val="1"/>
                <w:szCs w:val="1"/>
                <w:color w:val="auto"/>
              </w:rPr>
            </w:pPr>
          </w:p>
        </w:tc>
      </w:tr>
      <w:tr>
        <w:trPr>
          <w:trHeight w:val="199"/>
        </w:trPr>
        <w:tc>
          <w:tcPr>
            <w:tcW w:w="6120" w:type="dxa"/>
            <w:vAlign w:val="bottom"/>
            <w:tcBorders>
              <w:bottom w:val="single" w:sz="8" w:color="CCEEFF"/>
            </w:tcBorders>
          </w:tcPr>
          <w:p>
            <w:pPr>
              <w:ind w:left="140"/>
              <w:spacing w:after="0" w:line="199" w:lineRule="exact"/>
              <w:rPr>
                <w:sz w:val="20"/>
                <w:szCs w:val="20"/>
                <w:color w:val="auto"/>
              </w:rPr>
            </w:pPr>
            <w:r>
              <w:rPr>
                <w:rFonts w:ascii="Times New Roman" w:cs="Times New Roman" w:eastAsia="Times New Roman" w:hAnsi="Times New Roman"/>
                <w:sz w:val="14"/>
                <w:szCs w:val="14"/>
                <w:color w:val="auto"/>
              </w:rPr>
              <w:t>Other investments</w:t>
            </w:r>
            <w:r>
              <w:rPr>
                <w:rFonts w:ascii="Times New Roman" w:cs="Times New Roman" w:eastAsia="Times New Roman" w:hAnsi="Times New Roman"/>
                <w:sz w:val="18"/>
                <w:szCs w:val="18"/>
                <w:b w:val="1"/>
                <w:bCs w:val="1"/>
                <w:color w:val="auto"/>
                <w:vertAlign w:val="superscript"/>
              </w:rPr>
              <w:t>(2)</w:t>
            </w:r>
          </w:p>
        </w:tc>
        <w:tc>
          <w:tcPr>
            <w:tcW w:w="16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4"/>
              </w:rPr>
              <w:t>Various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210,495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206,903</w:t>
            </w: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2,244,170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1,941,278</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line="192" w:lineRule="exact"/>
              <w:rPr>
                <w:sz w:val="20"/>
                <w:szCs w:val="20"/>
                <w:color w:val="auto"/>
              </w:rPr>
            </w:pPr>
            <w:r>
              <w:rPr>
                <w:rFonts w:ascii="Times New Roman" w:cs="Times New Roman" w:eastAsia="Times New Roman" w:hAnsi="Times New Roman"/>
                <w:sz w:val="14"/>
                <w:szCs w:val="14"/>
                <w:b w:val="1"/>
                <w:bCs w:val="1"/>
                <w:color w:val="auto"/>
              </w:rPr>
              <w:t>Investments in partially owned entities included in other liabilities</w:t>
            </w:r>
            <w:r>
              <w:rPr>
                <w:rFonts w:ascii="Times New Roman" w:cs="Times New Roman" w:eastAsia="Times New Roman" w:hAnsi="Times New Roman"/>
                <w:sz w:val="18"/>
                <w:szCs w:val="18"/>
                <w:b w:val="1"/>
                <w:bCs w:val="1"/>
                <w:color w:val="auto"/>
                <w:vertAlign w:val="superscript"/>
              </w:rPr>
              <w:t>(3)</w:t>
            </w:r>
            <w:r>
              <w:rPr>
                <w:rFonts w:ascii="Times New Roman" w:cs="Times New Roman" w:eastAsia="Times New Roman" w:hAnsi="Times New Roman"/>
                <w:sz w:val="14"/>
                <w:szCs w:val="14"/>
                <w:b w:val="1"/>
                <w:bCs w:val="1"/>
                <w:color w:val="auto"/>
              </w:rPr>
              <w:t>:</w:t>
            </w: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12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 West 34th Street</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(44,659)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(65,726)</w:t>
            </w:r>
          </w:p>
        </w:tc>
        <w:tc>
          <w:tcPr>
            <w:tcW w:w="0" w:type="dxa"/>
            <w:vAlign w:val="bottom"/>
          </w:tcPr>
          <w:p>
            <w:pPr>
              <w:spacing w:after="0"/>
              <w:rPr>
                <w:sz w:val="1"/>
                <w:szCs w:val="1"/>
                <w:color w:val="auto"/>
              </w:rPr>
            </w:pPr>
          </w:p>
        </w:tc>
      </w:tr>
      <w:tr>
        <w:trPr>
          <w:trHeight w:val="192"/>
        </w:trPr>
        <w:tc>
          <w:tcPr>
            <w:tcW w:w="6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85 Tenth Avenue</w:t>
            </w:r>
          </w:p>
        </w:tc>
        <w:tc>
          <w:tcPr>
            <w:tcW w:w="15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(25,198)</w:t>
            </w:r>
          </w:p>
        </w:tc>
        <w:tc>
          <w:tcPr>
            <w:tcW w:w="0" w:type="dxa"/>
            <w:vAlign w:val="bottom"/>
          </w:tcPr>
          <w:p>
            <w:pPr>
              <w:spacing w:after="0"/>
              <w:rPr>
                <w:sz w:val="1"/>
                <w:szCs w:val="1"/>
                <w:color w:val="auto"/>
              </w:rPr>
            </w:pPr>
          </w:p>
        </w:tc>
      </w:tr>
      <w:tr>
        <w:trPr>
          <w:trHeight w:val="217"/>
        </w:trPr>
        <w:tc>
          <w:tcPr>
            <w:tcW w:w="6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(73,880)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(90,924)</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12" w:lineRule="exact"/>
        <w:rPr>
          <w:sz w:val="20"/>
          <w:szCs w:val="20"/>
          <w:color w:val="auto"/>
        </w:rPr>
      </w:pPr>
    </w:p>
    <w:p>
      <w:pPr>
        <w:ind w:left="320" w:hanging="314"/>
        <w:spacing w:after="0"/>
        <w:tabs>
          <w:tab w:leader="none" w:pos="32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interests in 280 Park Avenue, Park Avenue Plaza (acquired June 2026), 61 Ninth Avenue and others.</w:t>
      </w:r>
    </w:p>
    <w:p>
      <w:pPr>
        <w:spacing w:after="0" w:line="8"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interests in Independence Plaza, Sunset Pier 94 Joint Venture (“Pier 94 JV”), Rosslyn Plaza and others.</w:t>
      </w:r>
    </w:p>
    <w:p>
      <w:pPr>
        <w:spacing w:after="0" w:line="11"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Our negative basis results from distributions in excess of our investment.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3" w:name="page24"/>
    <w:bookmarkEnd w:id="23"/>
    <w:p>
      <w:pPr>
        <w:jc w:val="center"/>
        <w:ind w:left="302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right="6620" w:hanging="314"/>
        <w:spacing w:after="0" w:line="347" w:lineRule="auto"/>
        <w:tabs>
          <w:tab w:leader="none" w:pos="311"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Investments in Partially Owned Entities - continued </w:t>
      </w:r>
      <w:r>
        <w:rPr>
          <w:rFonts w:ascii="Times New Roman" w:cs="Times New Roman" w:eastAsia="Times New Roman" w:hAnsi="Times New Roman"/>
          <w:sz w:val="17"/>
          <w:szCs w:val="17"/>
          <w:color w:val="auto"/>
        </w:rPr>
        <w:t>Below is a schedule of income from partially owned entities.</w:t>
      </w:r>
    </w:p>
    <w:p>
      <w:pPr>
        <w:sectPr>
          <w:pgSz w:w="11900" w:h="16838" w:orient="portrait"/>
          <w:cols w:equalWidth="0" w:num="1">
            <w:col w:w="11240"/>
          </w:cols>
          <w:pgMar w:left="320" w:top="358" w:right="339" w:bottom="1440" w:gutter="0" w:footer="0" w:header="0"/>
        </w:sectPr>
      </w:pP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(Amounts in thousands)</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Our share of net income (loss):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Fifth Avenue and Times Square JV (see page 22 for details):</w:t>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Equity in net income</w:t>
      </w:r>
    </w:p>
    <w:p>
      <w:pPr>
        <w:spacing w:after="0" w:line="38" w:lineRule="exact"/>
        <w:rPr>
          <w:sz w:val="20"/>
          <w:szCs w:val="20"/>
          <w:color w:val="auto"/>
        </w:rPr>
      </w:pPr>
    </w:p>
    <w:p>
      <w:pPr>
        <w:ind w:left="340"/>
        <w:spacing w:after="0" w:line="330" w:lineRule="auto"/>
        <w:rPr>
          <w:sz w:val="20"/>
          <w:szCs w:val="20"/>
          <w:color w:val="auto"/>
        </w:rPr>
      </w:pPr>
      <w:r>
        <w:rPr>
          <w:rFonts w:ascii="Times New Roman" w:cs="Times New Roman" w:eastAsia="Times New Roman" w:hAnsi="Times New Roman"/>
          <w:sz w:val="14"/>
          <w:szCs w:val="14"/>
          <w:color w:val="auto"/>
        </w:rPr>
        <w:t>Return on preferred equity, net of our share of the expense Net gain on sale</w:t>
      </w:r>
    </w:p>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Alexander's (see page 22 for details):</w:t>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Equity in net income</w:t>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Management, leasing and development fees</w:t>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Net gain on sale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1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 Ownership</w:t>
            </w:r>
          </w:p>
        </w:tc>
        <w:tc>
          <w:tcPr>
            <w:tcW w:w="2720" w:type="dxa"/>
            <w:vAlign w:val="bottom"/>
            <w:gridSpan w:val="7"/>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100" w:type="dxa"/>
            <w:vAlign w:val="bottom"/>
          </w:tcPr>
          <w:p>
            <w:pPr>
              <w:spacing w:after="0"/>
              <w:rPr>
                <w:sz w:val="12"/>
                <w:szCs w:val="12"/>
                <w:color w:val="auto"/>
              </w:rPr>
            </w:pPr>
          </w:p>
        </w:tc>
        <w:tc>
          <w:tcPr>
            <w:tcW w:w="2500" w:type="dxa"/>
            <w:vAlign w:val="bottom"/>
            <w:gridSpan w:val="5"/>
          </w:tcPr>
          <w:p>
            <w:pPr>
              <w:jc w:val="center"/>
              <w:ind w:right="29"/>
              <w:spacing w:after="0" w:line="146" w:lineRule="exact"/>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0" w:type="dxa"/>
            <w:vAlign w:val="bottom"/>
          </w:tcPr>
          <w:p>
            <w:pPr>
              <w:spacing w:after="0"/>
              <w:rPr>
                <w:sz w:val="1"/>
                <w:szCs w:val="1"/>
                <w:color w:val="auto"/>
              </w:rPr>
            </w:pPr>
          </w:p>
        </w:tc>
      </w:tr>
      <w:tr>
        <w:trPr>
          <w:trHeight w:val="66"/>
        </w:trPr>
        <w:tc>
          <w:tcPr>
            <w:tcW w:w="16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160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w w:val="99"/>
              </w:rPr>
              <w:t>as of September 30,</w:t>
            </w: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3"/>
            <w:vMerge w:val="continue"/>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3"/>
            <w:vMerge w:val="continue"/>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558"/>
        </w:trPr>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51.5%</w:t>
            </w:r>
          </w:p>
        </w:tc>
        <w:tc>
          <w:tcPr>
            <w:tcW w:w="120" w:type="dxa"/>
            <w:vAlign w:val="bottom"/>
          </w:tcPr>
          <w:p>
            <w:pPr>
              <w:spacing w:after="0"/>
              <w:rPr>
                <w:sz w:val="24"/>
                <w:szCs w:val="24"/>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3,652</w:t>
            </w: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13,588</w:t>
            </w: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11,772</w:t>
            </w:r>
          </w:p>
        </w:tc>
        <w:tc>
          <w:tcPr>
            <w:tcW w:w="0" w:type="dxa"/>
            <w:vAlign w:val="bottom"/>
          </w:tcPr>
          <w:p>
            <w:pPr>
              <w:spacing w:after="0"/>
              <w:rPr>
                <w:sz w:val="1"/>
                <w:szCs w:val="1"/>
                <w:color w:val="auto"/>
              </w:rPr>
            </w:pPr>
          </w:p>
        </w:tc>
      </w:tr>
      <w:tr>
        <w:trPr>
          <w:trHeight w:val="199"/>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21,287</w:t>
            </w:r>
          </w:p>
        </w:tc>
        <w:tc>
          <w:tcPr>
            <w:tcW w:w="0" w:type="dxa"/>
            <w:vAlign w:val="bottom"/>
          </w:tcPr>
          <w:p>
            <w:pPr>
              <w:spacing w:after="0"/>
              <w:rPr>
                <w:sz w:val="1"/>
                <w:szCs w:val="1"/>
                <w:color w:val="auto"/>
              </w:rPr>
            </w:pPr>
          </w:p>
        </w:tc>
      </w:tr>
      <w:tr>
        <w:trPr>
          <w:trHeight w:val="199"/>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76,162</w:t>
            </w:r>
          </w:p>
        </w:tc>
        <w:tc>
          <w:tcPr>
            <w:tcW w:w="0" w:type="dxa"/>
            <w:vAlign w:val="bottom"/>
          </w:tcPr>
          <w:p>
            <w:pPr>
              <w:spacing w:after="0"/>
              <w:rPr>
                <w:sz w:val="1"/>
                <w:szCs w:val="1"/>
                <w:color w:val="auto"/>
              </w:rPr>
            </w:pPr>
          </w:p>
        </w:tc>
      </w:tr>
      <w:tr>
        <w:trPr>
          <w:trHeight w:val="24"/>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9,893</w:t>
            </w:r>
          </w:p>
        </w:tc>
        <w:tc>
          <w:tcPr>
            <w:tcW w:w="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8,527</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32,107</w:t>
            </w:r>
          </w:p>
        </w:tc>
        <w:tc>
          <w:tcPr>
            <w:tcW w:w="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109,221</w:t>
            </w:r>
          </w:p>
        </w:tc>
        <w:tc>
          <w:tcPr>
            <w:tcW w:w="0" w:type="dxa"/>
            <w:vAlign w:val="bottom"/>
          </w:tcPr>
          <w:p>
            <w:pPr>
              <w:spacing w:after="0"/>
              <w:rPr>
                <w:sz w:val="1"/>
                <w:szCs w:val="1"/>
                <w:color w:val="auto"/>
              </w:rPr>
            </w:pPr>
          </w:p>
        </w:tc>
      </w:tr>
      <w:tr>
        <w:trPr>
          <w:trHeight w:val="360"/>
        </w:trPr>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32.4%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7,911</w:t>
            </w:r>
          </w:p>
        </w:tc>
        <w:tc>
          <w:tcPr>
            <w:tcW w:w="0" w:type="dxa"/>
            <w:vAlign w:val="bottom"/>
          </w:tcPr>
          <w:p>
            <w:pPr>
              <w:spacing w:after="0"/>
              <w:rPr>
                <w:sz w:val="1"/>
                <w:szCs w:val="1"/>
                <w:color w:val="auto"/>
              </w:rPr>
            </w:pPr>
          </w:p>
        </w:tc>
      </w:tr>
      <w:tr>
        <w:trPr>
          <w:trHeight w:val="199"/>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w:t>
            </w:r>
          </w:p>
        </w:tc>
        <w:tc>
          <w:tcPr>
            <w:tcW w:w="0" w:type="dxa"/>
            <w:vAlign w:val="bottom"/>
          </w:tcPr>
          <w:p>
            <w:pPr>
              <w:spacing w:after="0"/>
              <w:rPr>
                <w:sz w:val="1"/>
                <w:szCs w:val="1"/>
                <w:color w:val="auto"/>
              </w:rPr>
            </w:pPr>
          </w:p>
        </w:tc>
      </w:tr>
      <w:tr>
        <w:trPr>
          <w:trHeight w:val="199"/>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44,329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-2738755</wp:posOffset>
            </wp:positionH>
            <wp:positionV relativeFrom="paragraph">
              <wp:posOffset>-1002030</wp:posOffset>
            </wp:positionV>
            <wp:extent cx="7134860" cy="1263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-749935</wp:posOffset>
            </wp:positionV>
            <wp:extent cx="7134860" cy="1263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-488950</wp:posOffset>
            </wp:positionV>
            <wp:extent cx="7134860" cy="1263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-236220</wp:posOffset>
            </wp:positionV>
            <wp:extent cx="7134860" cy="1263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3640" w:space="680"/>
            <w:col w:w="6920"/>
          </w:cols>
          <w:pgMar w:left="320" w:top="358"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346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11,818</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3,474</w:t>
            </w: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64,658</w:t>
            </w: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12,355</w:t>
            </w:r>
          </w:p>
        </w:tc>
      </w:tr>
      <w:tr>
        <w:trPr>
          <w:trHeight w:val="93"/>
        </w:trPr>
        <w:tc>
          <w:tcPr>
            <w:tcW w:w="34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199"/>
        </w:trPr>
        <w:tc>
          <w:tcPr>
            <w:tcW w:w="346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4"/>
                <w:szCs w:val="14"/>
                <w:color w:val="auto"/>
              </w:rPr>
              <w:t>Partially owned office buildings</w:t>
            </w:r>
            <w:r>
              <w:rPr>
                <w:rFonts w:ascii="Times New Roman" w:cs="Times New Roman" w:eastAsia="Times New Roman" w:hAnsi="Times New Roman"/>
                <w:sz w:val="18"/>
                <w:szCs w:val="18"/>
                <w:b w:val="1"/>
                <w:bCs w:val="1"/>
                <w:color w:val="auto"/>
                <w:vertAlign w:val="superscript"/>
              </w:rPr>
              <w:t>(1)</w:t>
            </w:r>
          </w:p>
        </w:tc>
        <w:tc>
          <w:tcPr>
            <w:tcW w:w="290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4"/>
                <w:szCs w:val="14"/>
                <w:color w:val="auto"/>
              </w:rPr>
              <w:t>Various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(3,691)</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6,953</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(8,488)</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w:t>
            </w:r>
          </w:p>
        </w:tc>
      </w:tr>
      <w:tr>
        <w:trPr>
          <w:trHeight w:val="86"/>
        </w:trPr>
        <w:tc>
          <w:tcPr>
            <w:tcW w:w="3460" w:type="dxa"/>
            <w:vAlign w:val="bottom"/>
          </w:tcPr>
          <w:p>
            <w:pPr>
              <w:spacing w:after="0"/>
              <w:rPr>
                <w:sz w:val="7"/>
                <w:szCs w:val="7"/>
                <w:color w:val="auto"/>
              </w:rPr>
            </w:pPr>
          </w:p>
        </w:tc>
        <w:tc>
          <w:tcPr>
            <w:tcW w:w="246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r>
      <w:tr>
        <w:trPr>
          <w:trHeight w:val="199"/>
        </w:trPr>
        <w:tc>
          <w:tcPr>
            <w:tcW w:w="346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4"/>
                <w:szCs w:val="14"/>
                <w:color w:val="auto"/>
              </w:rPr>
              <w:t>Other investments</w:t>
            </w:r>
            <w:r>
              <w:rPr>
                <w:rFonts w:ascii="Times New Roman" w:cs="Times New Roman" w:eastAsia="Times New Roman" w:hAnsi="Times New Roman"/>
                <w:sz w:val="18"/>
                <w:szCs w:val="18"/>
                <w:b w:val="1"/>
                <w:bCs w:val="1"/>
                <w:color w:val="auto"/>
                <w:vertAlign w:val="superscript"/>
              </w:rPr>
              <w:t>(2)</w:t>
            </w:r>
          </w:p>
        </w:tc>
        <w:tc>
          <w:tcPr>
            <w:tcW w:w="290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4"/>
                <w:szCs w:val="14"/>
                <w:color w:val="auto"/>
              </w:rPr>
              <w:t>Various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5,298</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11,058</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13,036</w:t>
            </w:r>
          </w:p>
        </w:tc>
      </w:tr>
      <w:tr>
        <w:trPr>
          <w:trHeight w:val="86"/>
        </w:trPr>
        <w:tc>
          <w:tcPr>
            <w:tcW w:w="3460" w:type="dxa"/>
            <w:vAlign w:val="bottom"/>
          </w:tcPr>
          <w:p>
            <w:pPr>
              <w:spacing w:after="0"/>
              <w:rPr>
                <w:sz w:val="7"/>
                <w:szCs w:val="7"/>
                <w:color w:val="auto"/>
              </w:rPr>
            </w:pPr>
          </w:p>
        </w:tc>
        <w:tc>
          <w:tcPr>
            <w:tcW w:w="246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r>
      <w:tr>
        <w:trPr>
          <w:trHeight w:val="212"/>
        </w:trPr>
        <w:tc>
          <w:tcPr>
            <w:tcW w:w="346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99,335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135,588</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____________________</w:t>
      </w:r>
    </w:p>
    <w:p>
      <w:pPr>
        <w:spacing w:after="0" w:line="14" w:lineRule="exact"/>
        <w:rPr>
          <w:sz w:val="20"/>
          <w:szCs w:val="20"/>
          <w:color w:val="auto"/>
        </w:rPr>
      </w:pPr>
    </w:p>
    <w:p>
      <w:pPr>
        <w:ind w:left="320" w:hanging="314"/>
        <w:spacing w:after="0"/>
        <w:tabs>
          <w:tab w:leader="none" w:pos="32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interests in 280 Park Avenue, Park Avenue Plaza, 7 West 34th Street, 61 Ninth Avenue, 85 Tenth Avenue and others.</w:t>
      </w:r>
    </w:p>
    <w:p>
      <w:pPr>
        <w:spacing w:after="0" w:line="12"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interests in Independence Plaza, Pier 94 JV, Rosslyn Plaza and others.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Acquisitions</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3 East 54th Street</w:t>
      </w:r>
    </w:p>
    <w:p>
      <w:pPr>
        <w:spacing w:after="0" w:line="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January 7, 2026, we acquired 3 East 54th Street, an asset situated on 18,400 square feet of land, for $141,000,000, which is included in “development costs and construction in progress” on our consolidated balance sheets. Previously, in July 2025, we purchased the $35,000,000 A-Note secured by the property at par plus accrued interest, and in August 2024, we purchased the $50,000,000 B-Note secured by the property. The A-Note and B-Note were in default. The $107,000,000 loan balance, including default interest and advances, was credited towards the purchase price.</w:t>
      </w:r>
    </w:p>
    <w:p>
      <w:pPr>
        <w:spacing w:after="0" w:line="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3 East 54th Street is located between Fifth Avenue and Madison Avenue on 54th Street, adjacent to the St. Regis Hotel and our Upper Fifth Avenue retail properties. The land is zoned for approximately 232,500 buildable square feet as-of-right, and we are in the process of demolishing the existing buildings on the site.</w:t>
      </w:r>
    </w:p>
    <w:p>
      <w:pPr>
        <w:spacing w:after="0" w:line="123" w:lineRule="exact"/>
        <w:rPr>
          <w:sz w:val="20"/>
          <w:szCs w:val="20"/>
          <w:color w:val="auto"/>
        </w:rPr>
      </w:pPr>
    </w:p>
    <w:p>
      <w:pPr>
        <w:ind w:left="320" w:right="9880" w:hanging="314"/>
        <w:spacing w:after="0" w:line="326" w:lineRule="auto"/>
        <w:tabs>
          <w:tab w:leader="none" w:pos="311"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Dispositions </w:t>
      </w:r>
      <w:r>
        <w:rPr>
          <w:rFonts w:ascii="Times New Roman" w:cs="Times New Roman" w:eastAsia="Times New Roman" w:hAnsi="Times New Roman"/>
          <w:sz w:val="17"/>
          <w:szCs w:val="17"/>
          <w:i w:val="1"/>
          <w:iCs w:val="1"/>
          <w:color w:val="auto"/>
        </w:rPr>
        <w:t>606 Broadway</w:t>
      </w:r>
    </w:p>
    <w:p>
      <w:pPr>
        <w:spacing w:after="0" w:line="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May 14, 2026, a 50.0% owned consolidated joint venture completed the sale of 606 Broadway. The purchaser acquired the non-recourse mortgage loan, which was in maturity default, at a discount and paid the joint venture $3,000,000 in cash ($2,400,000 to Vornado). The transaction resulted in a $32,073,000 gain on debt extinguishment, of which $15,932,000 is attributable to noncontrolling interests. The property was previously impaired in the fourth quarter of 2023, and had a carrying value of $52,073,000 as of the sale date.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24" w:name="page25"/>
    <w:bookmarkEnd w:id="24"/>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Identified Intangible Assets and Liabilities</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our identified intangible assets (primarily in-place and above-market leases) and liabilities (primarily below-market leases).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60" w:type="dxa"/>
            <w:vAlign w:val="bottom"/>
          </w:tcPr>
          <w:p>
            <w:pPr>
              <w:spacing w:after="0"/>
              <w:rPr>
                <w:sz w:val="16"/>
                <w:szCs w:val="16"/>
                <w:color w:val="auto"/>
              </w:rPr>
            </w:pPr>
          </w:p>
        </w:tc>
        <w:tc>
          <w:tcPr>
            <w:tcW w:w="3280" w:type="dxa"/>
            <w:vAlign w:val="bottom"/>
            <w:gridSpan w:val="4"/>
          </w:tcPr>
          <w:p>
            <w:pPr>
              <w:jc w:val="right"/>
              <w:ind w:right="1249"/>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50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6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Identified intangible assets:</w:t>
            </w: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amount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192,026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192,555</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Accumulated amortization</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(87,096)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(81,962)</w:t>
            </w:r>
          </w:p>
        </w:tc>
        <w:tc>
          <w:tcPr>
            <w:tcW w:w="0" w:type="dxa"/>
            <w:vAlign w:val="bottom"/>
          </w:tcPr>
          <w:p>
            <w:pPr>
              <w:spacing w:after="0"/>
              <w:rPr>
                <w:sz w:val="1"/>
                <w:szCs w:val="1"/>
                <w:color w:val="auto"/>
              </w:rPr>
            </w:pPr>
          </w:p>
        </w:tc>
      </w:tr>
      <w:tr>
        <w:trPr>
          <w:trHeight w:val="224"/>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net</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104,930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110,593</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Identified intangible liabilities (included in other 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amount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130,079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134,499</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Accumulated amortization</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(110,599)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(113,271)</w:t>
            </w:r>
          </w:p>
        </w:tc>
        <w:tc>
          <w:tcPr>
            <w:tcW w:w="0" w:type="dxa"/>
            <w:vAlign w:val="bottom"/>
          </w:tcPr>
          <w:p>
            <w:pPr>
              <w:spacing w:after="0"/>
              <w:rPr>
                <w:sz w:val="1"/>
                <w:szCs w:val="1"/>
                <w:color w:val="auto"/>
              </w:rPr>
            </w:pPr>
          </w:p>
        </w:tc>
      </w:tr>
      <w:tr>
        <w:trPr>
          <w:trHeight w:val="224"/>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net</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21,228</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Amortization of acquired below-market leases, net of acquired above-market leases, resulted in an increase to rental revenues of $104,000 and $100,000 for the three months ended September 30, 2026 and 2025, respectively, and $340,000 and $284,000 for the nine months ended September 30, 2026 and 2025, respectively.</w:t>
      </w:r>
    </w:p>
    <w:p>
      <w:pPr>
        <w:spacing w:after="0" w:line="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Amortization of all other identified intangible assets (a component of depreciation and amortization expense) was $1,419,000 and $1,451,000 for the three months ended September 30, 2026 and 2025, respectively, and $4,256,000 and $4,324,000 for the nine months ended September 30, 2026 and 2025, respectively.</w:t>
      </w:r>
    </w:p>
    <w:p>
      <w:pPr>
        <w:spacing w:after="0" w:line="43" w:lineRule="exact"/>
        <w:rPr>
          <w:sz w:val="20"/>
          <w:szCs w:val="20"/>
          <w:color w:val="auto"/>
        </w:rPr>
      </w:pPr>
    </w:p>
    <w:p>
      <w:pPr>
        <w:ind w:left="320" w:hanging="314"/>
        <w:spacing w:after="0"/>
        <w:tabs>
          <w:tab w:leader="none" w:pos="3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58"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888 Seventh Avenue</w:t>
      </w:r>
    </w:p>
    <w:p>
      <w:pPr>
        <w:spacing w:after="0" w:line="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December 10, 2025, the $244,543,000 non-recourse mortgage loan on 888 Seventh Avenue matured and was not repaid, at which time the lenders declared an event of default. On March 9, 2026, we entered into a forbearance agreement pursuant to which the lenders agreed to forbear from exercising their remedies and waived default interest through March 2027. During the forbearance period, regularly scheduled interest and required monthly amortization payments continue to accrue, but payment is deferred until the expiration or earlier termination of the forbearance period, at which time such amounts become due and payable.</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2031 Revolving Credit Facility</w:t>
      </w:r>
    </w:p>
    <w:p>
      <w:pPr>
        <w:spacing w:after="0" w:line="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January 7, 2026, we completed a $1.105 billion refinancing of one of our two revolving credit facilities. On February 4, 2026, the facility was upsized to $1.130 billion. The $1.130 billion amended facility currently bears interest at a rate of SOFR plus 1.01% and is scheduled to mature in February 2031 (as fully extended). The facility fee is 24 basis points. The facility replaced the previous $1.25 billion revolving credit facility which was scheduled to mature in December 2027.</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2029 Revolving Credit Facility</w:t>
      </w:r>
    </w:p>
    <w:p>
      <w:pPr>
        <w:spacing w:after="0" w:line="6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January 7, 2026, we upsized our $915,000,000 revolving credit facility that matures in April 2029 (as fully extended) to $1.0 billion. The credit facility currently bears interest at a rate of SOFR plus 1.16% and has a facility fee of 24 basis points.</w:t>
      </w: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Unsecured Term Loan</w:t>
      </w:r>
    </w:p>
    <w:p>
      <w:pPr>
        <w:spacing w:after="0" w:line="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January 7, 2026, we completed a refinancing of our unsecured term loan and upsized the loan amount to $850,000,000. The loan bears interest at SOFR plus 1.15% and matures in February 2031 (as fully extended). The loan replaced the previous $800,000,000 term loan which bore interest at SOFR plus 1.25% and was scheduled to mature in December 2027.</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Senior Unsecured Notes Due 2033</w:t>
      </w:r>
    </w:p>
    <w:p>
      <w:pPr>
        <w:spacing w:after="0" w:line="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January 14, 2026, we completed a public offering of $500,000,000 5.75% senior unsecured notes due February 1, 2033 (“2033 Notes”). Interest on the senior unsecured notes is payable semi-annually on February 1 and August 1, commencing August 1, 2026. The 2033 Notes were sold at 99.824% of their face amount to yield 5.78%. A portion of the $494,000,000 net proceeds from the 2033 Notes was used to repay our $400,000,000 senior unsecured notes at their June 2026 maturity.</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One Park Avenue</w:t>
      </w:r>
    </w:p>
    <w:p>
      <w:pPr>
        <w:spacing w:after="0" w:line="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February 9, 2026, we completed a $525,000,000 refinancing of One Park Avenue, a 945,000 square foot Manhattan office building. The five-year interest-only loan matures in February 2031 and bears interest at a rate of SOFR plus 1.78%. The loan replaced the previous $525,000,000 loan that bore interest at SOFR plus 1.22% and was scheduled to mature in March 2026.</w:t>
      </w: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25" w:name="page26"/>
    <w:bookmarkEnd w:id="25"/>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320" w:right="9660" w:hanging="314"/>
        <w:spacing w:after="0" w:line="326" w:lineRule="auto"/>
        <w:tabs>
          <w:tab w:leader="none" w:pos="311"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 continued </w:t>
      </w:r>
      <w:r>
        <w:rPr>
          <w:rFonts w:ascii="Times New Roman" w:cs="Times New Roman" w:eastAsia="Times New Roman" w:hAnsi="Times New Roman"/>
          <w:sz w:val="17"/>
          <w:szCs w:val="17"/>
          <w:i w:val="1"/>
          <w:iCs w:val="1"/>
          <w:color w:val="auto"/>
        </w:rPr>
        <w:t>350 Park Avenue</w:t>
      </w:r>
    </w:p>
    <w:p>
      <w:pPr>
        <w:spacing w:after="0" w:line="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On March 10, 2026, an affiliate of Kenneth C. Griffin (“KG”) provided a $400,000,000 mortgage loan secured by 350 Park Avenue, the proceeds of which were used to defease the existing $400,000,000 mortgage loan in connection with the site’s development. The new interest-only loan bears interest at a fixed rate of 4.00% and matures in January 2027. Concurrently, and in connection with the planned development, Citadel Enterprise Americas LLC vacated the building and assigned its existing master lease to an affiliate of KG as tenant, and the lease was amended to provide for net rent of $16,000,000 per annum, equal to the interest payments under the new mortgage loan. On October 20, 2026, the $400,000,000 mortgage loan was satisfied at the closing of the 350 Park Avenue joint venture. See Note 20 –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further details.</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Senior Unsecured Notes Due 2026</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repaid our $400,000,000 2.15% senior unsecured notes on their June 1, 2026 maturity date.</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our debt: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 Interest</w:t>
            </w:r>
          </w:p>
        </w:tc>
        <w:tc>
          <w:tcPr>
            <w:tcW w:w="160" w:type="dxa"/>
            <w:vAlign w:val="bottom"/>
          </w:tcPr>
          <w:p>
            <w:pPr>
              <w:spacing w:after="0"/>
              <w:rPr>
                <w:sz w:val="13"/>
                <w:szCs w:val="13"/>
                <w:color w:val="auto"/>
              </w:rPr>
            </w:pPr>
          </w:p>
        </w:tc>
        <w:tc>
          <w:tcPr>
            <w:tcW w:w="3280" w:type="dxa"/>
            <w:vAlign w:val="bottom"/>
            <w:gridSpan w:val="4"/>
            <w:vMerge w:val="restart"/>
          </w:tcPr>
          <w:p>
            <w:pPr>
              <w:jc w:val="right"/>
              <w:ind w:right="1249"/>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06"/>
        </w:trPr>
        <w:tc>
          <w:tcPr>
            <w:tcW w:w="5920" w:type="dxa"/>
            <w:vAlign w:val="bottom"/>
            <w:vMerge w:val="continue"/>
          </w:tcPr>
          <w:p>
            <w:pPr>
              <w:spacing w:after="0"/>
              <w:rPr>
                <w:sz w:val="9"/>
                <w:szCs w:val="9"/>
                <w:color w:val="auto"/>
              </w:rPr>
            </w:pPr>
          </w:p>
        </w:tc>
        <w:tc>
          <w:tcPr>
            <w:tcW w:w="1880" w:type="dxa"/>
            <w:vAlign w:val="bottom"/>
            <w:gridSpan w:val="2"/>
            <w:vMerge w:val="restart"/>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Rate as of September 30,</w:t>
            </w:r>
          </w:p>
        </w:tc>
        <w:tc>
          <w:tcPr>
            <w:tcW w:w="160" w:type="dxa"/>
            <w:vAlign w:val="bottom"/>
          </w:tcPr>
          <w:p>
            <w:pPr>
              <w:spacing w:after="0"/>
              <w:rPr>
                <w:sz w:val="9"/>
                <w:szCs w:val="9"/>
                <w:color w:val="auto"/>
              </w:rPr>
            </w:pPr>
          </w:p>
        </w:tc>
        <w:tc>
          <w:tcPr>
            <w:tcW w:w="3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5920" w:type="dxa"/>
            <w:vAlign w:val="bottom"/>
          </w:tcPr>
          <w:p>
            <w:pPr>
              <w:spacing w:after="0"/>
              <w:rPr>
                <w:sz w:val="2"/>
                <w:szCs w:val="2"/>
                <w:color w:val="auto"/>
              </w:rPr>
            </w:pPr>
          </w:p>
        </w:tc>
        <w:tc>
          <w:tcPr>
            <w:tcW w:w="188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92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2026</w:t>
            </w:r>
            <w:r>
              <w:rPr>
                <w:rFonts w:ascii="Times New Roman" w:cs="Times New Roman" w:eastAsia="Times New Roman" w:hAnsi="Times New Roman"/>
                <w:sz w:val="9"/>
                <w:szCs w:val="9"/>
                <w:b w:val="1"/>
                <w:bCs w:val="1"/>
                <w:color w:val="auto"/>
                <w:w w:val="98"/>
              </w:rPr>
              <w:t>(1)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50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61"/>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Mortgages Payable:</w:t>
            </w:r>
          </w:p>
        </w:tc>
        <w:tc>
          <w:tcPr>
            <w:tcW w:w="1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59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920" w:type="dxa"/>
            <w:vAlign w:val="bottom"/>
            <w:shd w:val="clear" w:color="auto" w:fill="CCEEFF"/>
          </w:tcPr>
          <w:p>
            <w:pPr>
              <w:ind w:left="340"/>
              <w:spacing w:after="0" w:line="199" w:lineRule="exact"/>
              <w:rPr>
                <w:sz w:val="20"/>
                <w:szCs w:val="20"/>
                <w:color w:val="auto"/>
              </w:rPr>
            </w:pPr>
            <w:r>
              <w:rPr>
                <w:rFonts w:ascii="Times New Roman" w:cs="Times New Roman" w:eastAsia="Times New Roman" w:hAnsi="Times New Roman"/>
                <w:sz w:val="14"/>
                <w:szCs w:val="14"/>
                <w:color w:val="auto"/>
              </w:rPr>
              <w:t>Fixed rate</w:t>
            </w:r>
            <w:r>
              <w:rPr>
                <w:rFonts w:ascii="Times New Roman" w:cs="Times New Roman" w:eastAsia="Times New Roman" w:hAnsi="Times New Roman"/>
                <w:sz w:val="18"/>
                <w:szCs w:val="18"/>
                <w:b w:val="1"/>
                <w:bCs w:val="1"/>
                <w:color w:val="auto"/>
                <w:vertAlign w:val="superscript"/>
              </w:rPr>
              <w:t>(2)</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3,340,000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3,415,000</w:t>
            </w:r>
          </w:p>
        </w:tc>
        <w:tc>
          <w:tcPr>
            <w:tcW w:w="0" w:type="dxa"/>
            <w:vAlign w:val="bottom"/>
          </w:tcPr>
          <w:p>
            <w:pPr>
              <w:spacing w:after="0"/>
              <w:rPr>
                <w:sz w:val="1"/>
                <w:szCs w:val="1"/>
                <w:color w:val="auto"/>
              </w:rPr>
            </w:pPr>
          </w:p>
        </w:tc>
      </w:tr>
      <w:tr>
        <w:trPr>
          <w:trHeight w:val="199"/>
        </w:trPr>
        <w:tc>
          <w:tcPr>
            <w:tcW w:w="5920" w:type="dxa"/>
            <w:vAlign w:val="bottom"/>
            <w:tcBorders>
              <w:bottom w:val="single" w:sz="8" w:color="CCEEFF"/>
            </w:tcBorders>
          </w:tcPr>
          <w:p>
            <w:pPr>
              <w:ind w:left="340"/>
              <w:spacing w:after="0" w:line="199" w:lineRule="exact"/>
              <w:rPr>
                <w:sz w:val="20"/>
                <w:szCs w:val="20"/>
                <w:color w:val="auto"/>
              </w:rPr>
            </w:pPr>
            <w:r>
              <w:rPr>
                <w:rFonts w:ascii="Times New Roman" w:cs="Times New Roman" w:eastAsia="Times New Roman" w:hAnsi="Times New Roman"/>
                <w:sz w:val="14"/>
                <w:szCs w:val="14"/>
                <w:color w:val="auto"/>
              </w:rPr>
              <w:t>Variable rate</w:t>
            </w:r>
            <w:r>
              <w:rPr>
                <w:rFonts w:ascii="Times New Roman" w:cs="Times New Roman" w:eastAsia="Times New Roman" w:hAnsi="Times New Roman"/>
                <w:sz w:val="18"/>
                <w:szCs w:val="18"/>
                <w:b w:val="1"/>
                <w:bCs w:val="1"/>
                <w:color w:val="auto"/>
                <w:vertAlign w:val="superscript"/>
              </w:rPr>
              <w:t>(3)</w:t>
            </w:r>
          </w:p>
        </w:tc>
        <w:tc>
          <w:tcPr>
            <w:tcW w:w="17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5.65%</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1,529,543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1,529,037</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5.19%</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4,869,543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4,944,037</w:t>
            </w:r>
          </w:p>
        </w:tc>
        <w:tc>
          <w:tcPr>
            <w:tcW w:w="0" w:type="dxa"/>
            <w:vAlign w:val="bottom"/>
          </w:tcPr>
          <w:p>
            <w:pPr>
              <w:spacing w:after="0"/>
              <w:rPr>
                <w:sz w:val="1"/>
                <w:szCs w:val="1"/>
                <w:color w:val="auto"/>
              </w:rPr>
            </w:pPr>
          </w:p>
        </w:tc>
      </w:tr>
      <w:tr>
        <w:trPr>
          <w:trHeight w:val="192"/>
        </w:trPr>
        <w:tc>
          <w:tcPr>
            <w:tcW w:w="5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Deferred financing costs, net and other</w:t>
            </w:r>
          </w:p>
        </w:tc>
        <w:tc>
          <w:tcPr>
            <w:tcW w:w="17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(22,076)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(23,368)</w:t>
            </w:r>
          </w:p>
        </w:tc>
        <w:tc>
          <w:tcPr>
            <w:tcW w:w="0" w:type="dxa"/>
            <w:vAlign w:val="bottom"/>
          </w:tcPr>
          <w:p>
            <w:pPr>
              <w:spacing w:after="0"/>
              <w:rPr>
                <w:sz w:val="1"/>
                <w:szCs w:val="1"/>
                <w:color w:val="auto"/>
              </w:rPr>
            </w:pPr>
          </w:p>
        </w:tc>
      </w:tr>
      <w:tr>
        <w:trPr>
          <w:trHeight w:val="224"/>
        </w:trPr>
        <w:tc>
          <w:tcPr>
            <w:tcW w:w="59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net</w:t>
            </w:r>
          </w:p>
        </w:tc>
        <w:tc>
          <w:tcPr>
            <w:tcW w:w="17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4,847,467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4,920,669</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Unsecured Debt:</w:t>
            </w:r>
          </w:p>
        </w:tc>
        <w:tc>
          <w:tcPr>
            <w:tcW w:w="1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920" w:type="dxa"/>
            <w:vAlign w:val="bottom"/>
            <w:vMerge w:val="continue"/>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Senior unsecured notes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192"/>
        </w:trPr>
        <w:tc>
          <w:tcPr>
            <w:tcW w:w="5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Deferred financing costs, net and other</w:t>
            </w:r>
          </w:p>
        </w:tc>
        <w:tc>
          <w:tcPr>
            <w:tcW w:w="17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Senior unsecured notes, net</w:t>
            </w:r>
          </w:p>
        </w:tc>
        <w:tc>
          <w:tcPr>
            <w:tcW w:w="1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842,276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747,202</w:t>
            </w:r>
          </w:p>
        </w:tc>
        <w:tc>
          <w:tcPr>
            <w:tcW w:w="0" w:type="dxa"/>
            <w:vAlign w:val="bottom"/>
          </w:tcPr>
          <w:p>
            <w:pPr>
              <w:spacing w:after="0"/>
              <w:rPr>
                <w:sz w:val="1"/>
                <w:szCs w:val="1"/>
                <w:color w:val="auto"/>
              </w:rPr>
            </w:pPr>
          </w:p>
        </w:tc>
      </w:tr>
      <w:tr>
        <w:trPr>
          <w:trHeight w:val="133"/>
        </w:trPr>
        <w:tc>
          <w:tcPr>
            <w:tcW w:w="59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Unsecured term loan</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0" w:type="dxa"/>
            <w:vAlign w:val="bottom"/>
          </w:tcPr>
          <w:p>
            <w:pPr>
              <w:spacing w:after="0"/>
              <w:rPr>
                <w:sz w:val="1"/>
                <w:szCs w:val="1"/>
                <w:color w:val="auto"/>
              </w:rPr>
            </w:pPr>
          </w:p>
        </w:tc>
      </w:tr>
      <w:tr>
        <w:trPr>
          <w:trHeight w:val="192"/>
        </w:trPr>
        <w:tc>
          <w:tcPr>
            <w:tcW w:w="5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Deferred financing costs, net and other</w:t>
            </w:r>
          </w:p>
        </w:tc>
        <w:tc>
          <w:tcPr>
            <w:tcW w:w="17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(9,431)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(2,663)</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Unsecured term loan, net</w:t>
            </w:r>
          </w:p>
        </w:tc>
        <w:tc>
          <w:tcPr>
            <w:tcW w:w="1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840,569</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797,337</w:t>
            </w:r>
          </w:p>
        </w:tc>
        <w:tc>
          <w:tcPr>
            <w:tcW w:w="0" w:type="dxa"/>
            <w:vAlign w:val="bottom"/>
          </w:tcPr>
          <w:p>
            <w:pPr>
              <w:spacing w:after="0"/>
              <w:rPr>
                <w:sz w:val="1"/>
                <w:szCs w:val="1"/>
                <w:color w:val="auto"/>
              </w:rPr>
            </w:pPr>
          </w:p>
        </w:tc>
      </w:tr>
      <w:tr>
        <w:trPr>
          <w:trHeight w:val="185"/>
        </w:trPr>
        <w:tc>
          <w:tcPr>
            <w:tcW w:w="59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Unsecured revolving credit facilities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4.18%</w:t>
            </w:r>
          </w:p>
        </w:tc>
        <w:tc>
          <w:tcPr>
            <w:tcW w:w="1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918,000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720,420</w:t>
            </w:r>
          </w:p>
        </w:tc>
        <w:tc>
          <w:tcPr>
            <w:tcW w:w="0" w:type="dxa"/>
            <w:vAlign w:val="bottom"/>
          </w:tcPr>
          <w:p>
            <w:pPr>
              <w:spacing w:after="0"/>
              <w:rPr>
                <w:sz w:val="1"/>
                <w:szCs w:val="1"/>
                <w:color w:val="auto"/>
              </w:rPr>
            </w:pPr>
          </w:p>
        </w:tc>
      </w:tr>
      <w:tr>
        <w:trPr>
          <w:trHeight w:val="133"/>
        </w:trPr>
        <w:tc>
          <w:tcPr>
            <w:tcW w:w="59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59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net</w:t>
            </w:r>
          </w:p>
        </w:tc>
        <w:tc>
          <w:tcPr>
            <w:tcW w:w="17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2,600,845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2,264,959</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w:t>
            </w:r>
          </w:p>
        </w:tc>
        <w:tc>
          <w:tcPr>
            <w:tcW w:w="1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20" w:type="dxa"/>
            <w:vAlign w:val="bottom"/>
            <w:vMerge w:val="continue"/>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20" w:hanging="314"/>
        <w:spacing w:after="0" w:line="254" w:lineRule="auto"/>
        <w:tabs>
          <w:tab w:leader="none" w:pos="312"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Represents the interest rate in effect as of period end based on the appropriate reference rate as of the contractual reset date plus contractual spread, adjusted for hedging instruments, as applicable. See Note 15 -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for further information on our consolidated hedging instruments.</w:t>
      </w:r>
    </w:p>
    <w:p>
      <w:pPr>
        <w:ind w:left="320" w:hanging="314"/>
        <w:spacing w:after="0"/>
        <w:tabs>
          <w:tab w:leader="none" w:pos="320"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variable rate mortgages with interest rates fixed by interest rate swap arrangements.</w:t>
      </w:r>
    </w:p>
    <w:p>
      <w:pPr>
        <w:spacing w:after="0" w:line="11" w:lineRule="exact"/>
        <w:rPr>
          <w:rFonts w:ascii="Times New Roman" w:cs="Times New Roman" w:eastAsia="Times New Roman" w:hAnsi="Times New Roman"/>
          <w:sz w:val="14"/>
          <w:szCs w:val="14"/>
          <w:b w:val="1"/>
          <w:bCs w:val="1"/>
          <w:color w:val="auto"/>
        </w:rPr>
      </w:pPr>
    </w:p>
    <w:p>
      <w:pPr>
        <w:jc w:val="both"/>
        <w:ind w:left="320" w:hanging="314"/>
        <w:spacing w:after="0" w:line="273" w:lineRule="auto"/>
        <w:tabs>
          <w:tab w:leader="none" w:pos="312"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variable rate mortgages subject to interest rate cap arrangements. As of September 30, 2026, $1,285,000 of our variable rate debt is subject to interest rate cap arrangements, of which $645,000 is attributable to noncontrolling interests. The interest rate cap arrangements have a weighted average SOFR strike rate of 4.22% and a weighted average remaining term of four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6" w:name="page27"/>
    <w:bookmarkEnd w:id="26"/>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right="7620" w:hanging="314"/>
        <w:spacing w:after="0" w:line="326" w:lineRule="auto"/>
        <w:tabs>
          <w:tab w:leader="none" w:pos="399"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Redeemable Noncontrolling Interests </w:t>
      </w:r>
      <w:r>
        <w:rPr>
          <w:rFonts w:ascii="Times New Roman" w:cs="Times New Roman" w:eastAsia="Times New Roman" w:hAnsi="Times New Roman"/>
          <w:sz w:val="17"/>
          <w:szCs w:val="17"/>
          <w:i w:val="1"/>
          <w:iCs w:val="1"/>
          <w:color w:val="auto"/>
        </w:rPr>
        <w:t>Redeemable Noncontrolling Partnership Units</w:t>
      </w:r>
    </w:p>
    <w:p>
      <w:pPr>
        <w:spacing w:after="0" w:line="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Redeemable noncontrolling partnership units are primarily comprised of Class A Operating Partnership units held by third parties and are recorded at the greater of their carrying amount or redemption value at the end of each reporting period. Changes in the value from period to period are charged to “additional capital” in Vornado’s consolidated statements of changes in equity and to “partners’ capital” on the consolidated balance sheets of the Operating Partnership. Class A units may be tendered for redemption to the Operating Partnership for cash; Vornado, at its option, may assume that obligation and pay the holder either cash or Vornado common shares on a one-for-one basis. Because the number of Vornado common shares outstanding at all times equals the number of Class A units owned by Vornado, the redemption value of each Class A unit is equivalent to the market value of one Vornado common share, and a distribution made to a Class A unitholder is equal to the dividend paid to a Vornado common shareholder.</w:t>
      </w:r>
    </w:p>
    <w:p>
      <w:pPr>
        <w:spacing w:after="0" w:line="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table summarizing the activity of redeemable noncontrolling partnership units.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00" w:type="dxa"/>
            <w:vAlign w:val="bottom"/>
          </w:tcPr>
          <w:p>
            <w:pPr>
              <w:spacing w:after="0"/>
              <w:rPr>
                <w:sz w:val="16"/>
                <w:szCs w:val="16"/>
                <w:color w:val="auto"/>
              </w:rPr>
            </w:pPr>
          </w:p>
        </w:tc>
        <w:tc>
          <w:tcPr>
            <w:tcW w:w="28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20" w:type="dxa"/>
            <w:vAlign w:val="bottom"/>
          </w:tcPr>
          <w:p>
            <w:pPr>
              <w:spacing w:after="0"/>
              <w:rPr>
                <w:sz w:val="16"/>
                <w:szCs w:val="16"/>
                <w:color w:val="auto"/>
              </w:rPr>
            </w:pPr>
          </w:p>
        </w:tc>
        <w:tc>
          <w:tcPr>
            <w:tcW w:w="2740" w:type="dxa"/>
            <w:vAlign w:val="bottom"/>
            <w:gridSpan w:val="4"/>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4"/>
        </w:trPr>
        <w:tc>
          <w:tcPr>
            <w:tcW w:w="5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4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658,019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642,465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557,671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711,943</w:t>
            </w:r>
          </w:p>
        </w:tc>
      </w:tr>
      <w:tr>
        <w:trPr>
          <w:trHeight w:val="191"/>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73,788</w:t>
            </w:r>
          </w:p>
        </w:tc>
      </w:tr>
      <w:tr>
        <w:trPr>
          <w:trHeight w:val="20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(4,780)</w:t>
            </w:r>
          </w:p>
        </w:tc>
      </w:tr>
      <w:tr>
        <w:trPr>
          <w:trHeight w:val="191"/>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r>
      <w:tr>
        <w:trPr>
          <w:trHeight w:val="20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Redemption of Class A units for Vornado common shares, at redemption value</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(49,129)</w:t>
            </w:r>
          </w:p>
        </w:tc>
      </w:tr>
      <w:tr>
        <w:trPr>
          <w:trHeight w:val="191"/>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Class A unit measurement adjustment</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(85,294)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32,228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(70,160)</w:t>
            </w:r>
          </w:p>
        </w:tc>
      </w:tr>
      <w:tr>
        <w:trPr>
          <w:trHeight w:val="19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5,514</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19,043</w:t>
            </w:r>
          </w:p>
        </w:tc>
      </w:tr>
      <w:tr>
        <w:trPr>
          <w:trHeight w:val="199"/>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565,017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680,154</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565,017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680,154</w:t>
            </w:r>
          </w:p>
        </w:tc>
      </w:tr>
      <w:tr>
        <w:trPr>
          <w:trHeight w:val="20"/>
        </w:trPr>
        <w:tc>
          <w:tcPr>
            <w:tcW w:w="5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September 30, 2026 and December 31, 2025, the aggregate redemption value of redeemable Class A units of the Operating Partnership, which are those units held by third parties, was $561,482,000 and $554,136,000, respectively, based on Vornado’s quarter-end closing common share price.</w:t>
      </w:r>
    </w:p>
    <w:p>
      <w:pPr>
        <w:spacing w:after="0" w:line="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Redeemable noncontrolling partnership units exclude our Series G-1 through G-4 convertible preferred units and Series D-13 cumulative redeemable preferred units, as they are accounted for as liabilities in accordance with ASC Topic 480, </w:t>
      </w:r>
      <w:r>
        <w:rPr>
          <w:rFonts w:ascii="Times New Roman" w:cs="Times New Roman" w:eastAsia="Times New Roman" w:hAnsi="Times New Roman"/>
          <w:sz w:val="18"/>
          <w:szCs w:val="18"/>
          <w:i w:val="1"/>
          <w:iCs w:val="1"/>
          <w:color w:val="auto"/>
        </w:rPr>
        <w:t>Distinguishing Liabilities and Equity</w:t>
      </w:r>
      <w:r>
        <w:rPr>
          <w:rFonts w:ascii="Times New Roman" w:cs="Times New Roman" w:eastAsia="Times New Roman" w:hAnsi="Times New Roman"/>
          <w:sz w:val="18"/>
          <w:szCs w:val="18"/>
          <w:color w:val="auto"/>
        </w:rPr>
        <w:t>. Accordingly, the fair value of these units is included as a component of “other liabilities” on our consolidated balance sheets and aggregated $49,489,000 and $49,465,000 as of September 30, 2026 and December 31, 2025, respectively. Changes in the value from period to period, if any, are charged to “interest and debt expense” on our consolidated statements of income.</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Redeemable Noncontrolling Interest in a Consolidated Subsidiary</w:t>
      </w:r>
    </w:p>
    <w:p>
      <w:pPr>
        <w:spacing w:after="0" w:line="6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 consolidated joint venture, in which we hold a 95% interest, developed and owns the Farley Building. As of September 30, 2026, a historic tax credit investor (the "Tax Credit Investor") has funded $209,661,000 of capital contributions in connection with the Farley Building development.</w:t>
      </w:r>
    </w:p>
    <w:p>
      <w:pPr>
        <w:spacing w:after="0" w:line="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arrangement includes a put option whereby the joint venture may be obligated to purchase the Tax Credit Investor’s ownership interest in the Farley Building at a future date. The put price is calculated based on a pre-determined formula. As exercise of the put option is outside of the joint venture’s control, the Tax Credit Investor’s interest, together with the put option, have been recorded to “redeemable noncontrolling interest in a consolidated subsidiary” on our consolidated balance sheets. The redeemable noncontrolling interest is recorded at the greater of the carrying amount or redemption value at the end of each reporting period. Changes in the value from period to period are charged to “additional capital” in Vornado’s consolidated statements of changes in equity and to “partners’ capital” on the consolidated balance sheets of the Operating Partnership. There was no adjustment required for the three and nine months ended September 30, 2026 and 2025.</w:t>
      </w:r>
    </w:p>
    <w:p>
      <w:pPr>
        <w:spacing w:after="0" w:line="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table summarizing the activity of the redeemable noncontrolling interest in a consolidated subsidiary.</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80" w:type="dxa"/>
            <w:vAlign w:val="bottom"/>
          </w:tcPr>
          <w:p>
            <w:pPr>
              <w:spacing w:after="0"/>
              <w:rPr>
                <w:sz w:val="16"/>
                <w:szCs w:val="16"/>
                <w:color w:val="auto"/>
              </w:rPr>
            </w:pPr>
          </w:p>
        </w:tc>
        <w:tc>
          <w:tcPr>
            <w:tcW w:w="29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20" w:type="dxa"/>
            <w:vAlign w:val="bottom"/>
          </w:tcPr>
          <w:p>
            <w:pPr>
              <w:spacing w:after="0"/>
              <w:rPr>
                <w:sz w:val="16"/>
                <w:szCs w:val="16"/>
                <w:color w:val="auto"/>
              </w:rPr>
            </w:pPr>
          </w:p>
        </w:tc>
        <w:tc>
          <w:tcPr>
            <w:tcW w:w="2760" w:type="dxa"/>
            <w:vAlign w:val="bottom"/>
            <w:gridSpan w:val="4"/>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4"/>
        </w:trPr>
        <w:tc>
          <w:tcPr>
            <w:tcW w:w="53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3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75,668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90,280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122,715</w:t>
            </w:r>
          </w:p>
        </w:tc>
      </w:tr>
      <w:tr>
        <w:trPr>
          <w:trHeight w:val="191"/>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(22,195)</w:t>
            </w:r>
          </w:p>
        </w:tc>
      </w:tr>
      <w:tr>
        <w:trPr>
          <w:trHeight w:val="20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Contributions</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w:t>
            </w:r>
          </w:p>
        </w:tc>
      </w:tr>
      <w:tr>
        <w:trPr>
          <w:trHeight w:val="192"/>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w:t>
            </w:r>
          </w:p>
        </w:tc>
        <w:tc>
          <w:tcPr>
            <w:tcW w:w="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r>
      <w:tr>
        <w:trPr>
          <w:trHeight w:val="224"/>
        </w:trPr>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68,158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101,117</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7" w:name="page28"/>
    <w:bookmarkEnd w:id="27"/>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Shareholders' Equity/Partners' Capital</w:t>
      </w:r>
    </w:p>
    <w:p>
      <w:pPr>
        <w:spacing w:after="0" w:line="6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details of our dividends/distributions per common share/Class A unit and dividends/distributions per share/unit for each class of preferred shares/units of beneficial interest.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 share/unit)</w:t>
            </w:r>
          </w:p>
        </w:tc>
        <w:tc>
          <w:tcPr>
            <w:tcW w:w="80" w:type="dxa"/>
            <w:vAlign w:val="bottom"/>
          </w:tcPr>
          <w:p>
            <w:pPr>
              <w:spacing w:after="0"/>
              <w:rPr>
                <w:sz w:val="16"/>
                <w:szCs w:val="16"/>
                <w:color w:val="auto"/>
              </w:rPr>
            </w:pPr>
          </w:p>
        </w:tc>
        <w:tc>
          <w:tcPr>
            <w:tcW w:w="2980" w:type="dxa"/>
            <w:vAlign w:val="bottom"/>
            <w:gridSpan w:val="6"/>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99"/>
              </w:rPr>
              <w:t>For the Three Months Ended September 30,</w:t>
            </w:r>
          </w:p>
        </w:tc>
        <w:tc>
          <w:tcPr>
            <w:tcW w:w="2740" w:type="dxa"/>
            <w:vAlign w:val="bottom"/>
            <w:gridSpan w:val="4"/>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4"/>
        </w:trPr>
        <w:tc>
          <w:tcPr>
            <w:tcW w:w="7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760" w:type="dxa"/>
            <w:vAlign w:val="bottom"/>
            <w:tcBorders>
              <w:bottom w:val="single" w:sz="8" w:color="CCEEFF"/>
            </w:tcBorders>
          </w:tcPr>
          <w:p>
            <w:pPr>
              <w:spacing w:after="0"/>
              <w:rPr>
                <w:sz w:val="16"/>
                <w:szCs w:val="16"/>
                <w:color w:val="auto"/>
              </w:rPr>
            </w:pPr>
          </w:p>
        </w:tc>
        <w:tc>
          <w:tcPr>
            <w:tcW w:w="46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shares/Class A units held by Vornado: authorized 250,000,000 shares/units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544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4"/>
                <w:szCs w:val="14"/>
                <w:color w:val="auto"/>
              </w:rPr>
              <w:t>Preferred shares/units</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9"/>
        </w:trPr>
        <w:tc>
          <w:tcPr>
            <w:tcW w:w="5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Convertible preferred:</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9"/>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4680" w:type="dxa"/>
            <w:vAlign w:val="bottom"/>
          </w:tcPr>
          <w:p>
            <w:pPr>
              <w:ind w:left="20"/>
              <w:spacing w:after="0" w:line="199" w:lineRule="exact"/>
              <w:rPr>
                <w:sz w:val="20"/>
                <w:szCs w:val="20"/>
                <w:color w:val="auto"/>
              </w:rPr>
            </w:pPr>
            <w:r>
              <w:rPr>
                <w:rFonts w:ascii="Times New Roman" w:cs="Times New Roman" w:eastAsia="Times New Roman" w:hAnsi="Times New Roman"/>
                <w:sz w:val="14"/>
                <w:szCs w:val="14"/>
                <w:color w:val="auto"/>
              </w:rPr>
              <w:t>Series A: authorized 7,338 and 9,180 shares/units</w:t>
            </w:r>
            <w:r>
              <w:rPr>
                <w:rFonts w:ascii="Times New Roman" w:cs="Times New Roman" w:eastAsia="Times New Roman" w:hAnsi="Times New Roman"/>
                <w:sz w:val="18"/>
                <w:szCs w:val="18"/>
                <w:b w:val="1"/>
                <w:bCs w:val="1"/>
                <w:color w:val="auto"/>
                <w:vertAlign w:val="superscript"/>
              </w:rPr>
              <w:t>(2)</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0.8125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0.8125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2.4375</w:t>
            </w:r>
          </w:p>
        </w:tc>
      </w:tr>
      <w:tr>
        <w:trPr>
          <w:trHeight w:val="199"/>
        </w:trPr>
        <w:tc>
          <w:tcPr>
            <w:tcW w:w="5440" w:type="dxa"/>
            <w:vAlign w:val="bottom"/>
            <w:gridSpan w:val="2"/>
            <w:shd w:val="clear" w:color="auto" w:fill="CCEEFF"/>
          </w:tcPr>
          <w:p>
            <w:pPr>
              <w:ind w:left="180"/>
              <w:spacing w:after="0" w:line="199" w:lineRule="exact"/>
              <w:rPr>
                <w:sz w:val="20"/>
                <w:szCs w:val="20"/>
                <w:color w:val="auto"/>
              </w:rPr>
            </w:pPr>
            <w:r>
              <w:rPr>
                <w:rFonts w:ascii="Times New Roman" w:cs="Times New Roman" w:eastAsia="Times New Roman" w:hAnsi="Times New Roman"/>
                <w:sz w:val="14"/>
                <w:szCs w:val="14"/>
                <w:color w:val="auto"/>
              </w:rPr>
              <w:t>Cumulative redeemable preferred</w:t>
            </w:r>
            <w:r>
              <w:rPr>
                <w:rFonts w:ascii="Times New Roman" w:cs="Times New Roman" w:eastAsia="Times New Roman" w:hAnsi="Times New Roman"/>
                <w:sz w:val="18"/>
                <w:szCs w:val="18"/>
                <w:b w:val="1"/>
                <w:bCs w:val="1"/>
                <w:color w:val="auto"/>
                <w:vertAlign w:val="superscript"/>
              </w:rPr>
              <w:t>(3)</w:t>
            </w: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1"/>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L: authorized 13,800,000 shares/units</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0.3375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1.0125</w:t>
            </w:r>
          </w:p>
        </w:tc>
      </w:tr>
      <w:tr>
        <w:trPr>
          <w:trHeight w:val="206"/>
        </w:trPr>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M: authorized 13,800,000 shares/units</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0.3281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0.9843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0.9843</w:t>
            </w:r>
          </w:p>
        </w:tc>
      </w:tr>
      <w:tr>
        <w:trPr>
          <w:trHeight w:val="191"/>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N: authorized 12,000,000 shares/units</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0.3281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0.9843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0.9843</w:t>
            </w:r>
          </w:p>
        </w:tc>
      </w:tr>
      <w:tr>
        <w:trPr>
          <w:trHeight w:val="206"/>
        </w:trPr>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O: authorized 12,000,000 shares/units</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0.2781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0.8343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0.8343</w:t>
            </w: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2" w:lineRule="exact"/>
        <w:rPr>
          <w:sz w:val="20"/>
          <w:szCs w:val="20"/>
          <w:color w:val="auto"/>
        </w:rPr>
      </w:pPr>
    </w:p>
    <w:p>
      <w:pPr>
        <w:ind w:left="320" w:hanging="314"/>
        <w:spacing w:after="0"/>
        <w:tabs>
          <w:tab w:leader="none" w:pos="320"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Preferred share dividends/preferred unit distributions are cumulative and are payable quarterly in arrears.</w:t>
      </w:r>
    </w:p>
    <w:p>
      <w:pPr>
        <w:spacing w:after="0" w:line="12" w:lineRule="exact"/>
        <w:rPr>
          <w:rFonts w:ascii="Times New Roman" w:cs="Times New Roman" w:eastAsia="Times New Roman" w:hAnsi="Times New Roman"/>
          <w:sz w:val="14"/>
          <w:szCs w:val="14"/>
          <w:b w:val="1"/>
          <w:bCs w:val="1"/>
          <w:color w:val="auto"/>
        </w:rPr>
      </w:pPr>
    </w:p>
    <w:p>
      <w:pPr>
        <w:ind w:left="320" w:hanging="314"/>
        <w:spacing w:after="0" w:line="253" w:lineRule="auto"/>
        <w:tabs>
          <w:tab w:leader="none" w:pos="312"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Redeemable at the option of Vornado under certain circumstances, at a redemption price of 1.9531 common shares/Class A units per Series A preferred share/unit plus accrued and unpaid dividends/distributions through the date of redemption, or convertible at any time at the option of the holder for 1.9531 common shares/Class A units per Series A preferred share/unit.</w:t>
      </w:r>
    </w:p>
    <w:p>
      <w:pPr>
        <w:ind w:left="320" w:hanging="314"/>
        <w:spacing w:after="0" w:line="273" w:lineRule="auto"/>
        <w:tabs>
          <w:tab w:leader="none" w:pos="312"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Cumulative redeemable preferred shares/units are redeemable at Vornado's option at a redemption price of $25.00 per share/unit, plus accrued and unpaid dividends/distributions through the date of redemption.</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anticipate that we will pay a common share dividend for 2026 in December, subject to approval by our Board of Trustees.</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April 2023, our Board of Trustees authorized a share repurchase plan under which Vornado is authorized to repurchase up to $200,000,000 of its outstanding common shares. Subsequently, on April 29, 2026, our Board of Trustees authorized an additional $300,000,000 under the share repurchase plan. To the extent Vornado repurchases any of its common shares, in order to fund the common share repurchase and maintain the one-to-one ratio of the number of Vornado common shares outstanding and the number of Class A units owned by Vornado, the Operating Partnership will repurchase from Vornado an equal number of its Class A units at the same price.</w:t>
      </w:r>
    </w:p>
    <w:p>
      <w:pPr>
        <w:spacing w:after="0" w:line="2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Share repurchases may be made from time to time in the open market, through privately negotiated transactions or through other means as permitted by federal securities laws, including through block trades, accelerated share repurchase transactions and/or trading plans intended to qualify under Rule 10b5-1. The timing, manner, price and amount of any repurchases will be determined in Vornado’s discretion depending on business, economic and market conditions, corporate and regulatory requirements, prevailing prices for Vornado’s common shares, alternative uses for capital and other considerations. The plan does not have an expiration date and may be suspended or discontinued at any time and does not obligate Vornado to make any repurchases of its common shares.</w:t>
      </w:r>
    </w:p>
    <w:p>
      <w:pPr>
        <w:spacing w:after="0" w:line="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2026, no shares were repurchased. During the nine months ended September 30, 2026, we repurchased 4,532,803 common shares for $133,305,000 at an average price of $29.41. In total, we have repurchased 8,019,658 common shares at an average price per share of $26.61. The Operating Partnership repurchased Class A units from Vornado equivalent to the number and price of common shares repurchased by Vornado. As of September 30, 2026, $286,590,000 remained available for repurchases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8" w:name="page29"/>
    <w:bookmarkEnd w:id="28"/>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2026 Omnibus Share Plan</w:t>
      </w:r>
    </w:p>
    <w:p>
      <w:pPr>
        <w:spacing w:after="0" w:line="6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May 21, 2026, our shareholders approved the 2026 Omnibus Share Plan (the “Plan”), which replaces the 2023 Omnibus Share Plan. Under the Plan, the Compensation Committee of Vornado’s Board of Trustees (the “Committee”) may grant incentive and nonqualified Vornado stock options, restricted Vornado common shares, restricted Operating Partnership units (“LTIP Units”), outperformance plan awards (“OPP Units”), appreciation-only long-term incentive plan units (“AO LTIP Units”), performance conditioned appreciation-only long-term incentive plan units (“Performance AO LTIP Units”), and long-term performance plan LTIP units (“LTPP Units”) to certain of our employees and officers. Awards may be granted up to a maximum of 8,000,000 shares, if all awards granted are Full Value awards, as defined in the Plan, and up to 16,000,000 shares, if all of the awards granted are Not Full Value Awards, as defined in the Plan. Full Value Awards are securities that have a value equivalent to the underlying Vornado common share or Class A unit of the Operating Partnership, such as restricted Vornado common shares or LTIP Units. Vornado stock options, AO LTIP Units and Performance AO LTIP Units are Not Full Value Awards; these securities require the payment of an exercise price.</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LTPP Units</w:t>
      </w:r>
    </w:p>
    <w:p>
      <w:pPr>
        <w:spacing w:after="0" w:line="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LTPP Units are multi-year, LTIP units-based performance equity compensation plans. On March 2, 2026, the Committee approved the 2026 Long-Term Performance Plan (“2026 LTPP”). Awards under the 2026 LTPP are bifurcated between operational performance (75%) and relative performance (25%) measurements and may be earned at specified threshold, target and maximum levels.</w:t>
      </w:r>
    </w:p>
    <w:p>
      <w:pPr>
        <w:spacing w:after="0" w:line="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operational component awards may be earned based on Vornado’s 2027 operational performance in FFO, as adjusted per share. Any LTPP award units tentatively earned based on Vornado’s 2027 operational performance are subject to an absolute return modifier pursuant to which such award units are subject to a potential reduction (but not increase) of up to 30% if Vornado’s three-year total shareholder return (“TSR”) is below specified levels.</w:t>
      </w:r>
    </w:p>
    <w:p>
      <w:pPr>
        <w:spacing w:after="0" w:line="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Awards under relative components may be earned based on Vornado’s three-year TSR measured against a peer group custom index. Awards earned under the relative component of the 2026 LTPP are subject to reductions of up to 30% if Vornado’s three-year TSR is below specified levels.</w:t>
      </w:r>
    </w:p>
    <w:p>
      <w:pPr>
        <w:spacing w:after="0" w:line="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If the designated performance objectives are achieved, awards earned under 2026 LTPP will vest 50% in March 2029 and 50% in March 2030. In addition, the Chief Executive Officer is required to hold any earned and vested awards for three years following each such vesting date and all other award recipients are required to hold such awards for one year following each such vesting date. Dividends on awards granted under the 2026 LTPP accrue during the applicable performance period and are paid to participants if awards are ultimately earned based on the achievement of the designated performance objectives.</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LTPP Units granted during the nine months ended September 30, 2026 had a grant date fair value of $18,711,000.</w:t>
      </w:r>
    </w:p>
    <w:p>
      <w:pPr>
        <w:spacing w:after="0" w:line="58"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Below is a summary of our stock-based compensation expense, a component of “general and administrative” expense on our consolidated statements of income.</w:t>
      </w:r>
    </w:p>
    <w:tbl>
      <w:tblPr>
        <w:tblLayout w:type="fixed"/>
        <w:tblInd w:w="40" w:type="dxa"/>
        <w:tblCellMar>
          <w:top w:w="0" w:type="dxa"/>
          <w:left w:w="0" w:type="dxa"/>
          <w:bottom w:w="0" w:type="dxa"/>
          <w:right w:w="0" w:type="dxa"/>
        </w:tblCellMar>
      </w:tblPr>
      <w:tr>
        <w:trPr>
          <w:trHeight w:val="186"/>
        </w:trPr>
        <w:tc>
          <w:tcPr>
            <w:tcW w:w="5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(Amounts in thousands)</w:t>
            </w:r>
          </w:p>
        </w:tc>
        <w:tc>
          <w:tcPr>
            <w:tcW w:w="80" w:type="dxa"/>
            <w:vAlign w:val="bottom"/>
          </w:tcPr>
          <w:p>
            <w:pPr>
              <w:spacing w:after="0"/>
              <w:rPr>
                <w:sz w:val="16"/>
                <w:szCs w:val="16"/>
                <w:color w:val="auto"/>
              </w:rPr>
            </w:pPr>
          </w:p>
        </w:tc>
        <w:tc>
          <w:tcPr>
            <w:tcW w:w="28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00" w:type="dxa"/>
            <w:vAlign w:val="bottom"/>
          </w:tcPr>
          <w:p>
            <w:pPr>
              <w:spacing w:after="0"/>
              <w:rPr>
                <w:sz w:val="16"/>
                <w:szCs w:val="16"/>
                <w:color w:val="auto"/>
              </w:rPr>
            </w:pPr>
          </w:p>
        </w:tc>
        <w:tc>
          <w:tcPr>
            <w:tcW w:w="2760" w:type="dxa"/>
            <w:vAlign w:val="bottom"/>
            <w:gridSpan w:val="4"/>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4"/>
        </w:trPr>
        <w:tc>
          <w:tcPr>
            <w:tcW w:w="53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3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 AO LTIP Units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7,307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8,442</w:t>
            </w:r>
          </w:p>
        </w:tc>
      </w:tr>
      <w:tr>
        <w:trPr>
          <w:trHeight w:val="191"/>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LTPP Units</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3,670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w:t>
            </w:r>
          </w:p>
        </w:tc>
      </w:tr>
      <w:tr>
        <w:trPr>
          <w:trHeight w:val="20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LTIP Units</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6,995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8,947</w:t>
            </w:r>
          </w:p>
        </w:tc>
      </w:tr>
      <w:tr>
        <w:trPr>
          <w:trHeight w:val="192"/>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OPP Units</w:t>
            </w:r>
          </w:p>
        </w:tc>
        <w:tc>
          <w:tcPr>
            <w:tcW w:w="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r>
      <w:tr>
        <w:trPr>
          <w:trHeight w:val="217"/>
        </w:trPr>
        <w:tc>
          <w:tcPr>
            <w:tcW w:w="53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17,983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19,114</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9" w:name="page30"/>
    <w:bookmarkEnd w:id="29"/>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20" w:right="7340" w:hanging="314"/>
        <w:spacing w:after="0" w:line="308" w:lineRule="auto"/>
        <w:tabs>
          <w:tab w:leader="none" w:pos="399"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(Loss) Income Per Share and Per Class A Unit </w:t>
      </w:r>
      <w:r>
        <w:rPr>
          <w:rFonts w:ascii="Times New Roman" w:cs="Times New Roman" w:eastAsia="Times New Roman" w:hAnsi="Times New Roman"/>
          <w:sz w:val="18"/>
          <w:szCs w:val="18"/>
          <w:i w:val="1"/>
          <w:iCs w:val="1"/>
          <w:color w:val="auto"/>
        </w:rPr>
        <w:t>Vornado Realty Trust</w:t>
      </w:r>
    </w:p>
    <w:p>
      <w:pPr>
        <w:spacing w:after="0" w:line="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Basic net (loss) income per common share is computed by dividing (i) net (loss) income attributable to common shareholders after allocation of dividends and undistributed earnings to participating securities by (ii) the weighted average number of common shares outstanding for the period. Diluted earnings per share reflects the dilutive impact of potential common shares and is computed after allocation of earnings to participating securities. Vornado’s participating securities include unvested restricted common shares. Employee stock options, OPP Units, AO LTIP Units, Performance AO LTIP Units and LTPP Units are included in the calculation of diluted (loss) income per share using the treasury stock method, if the effect is dilutive. Series A convertible preferred shares, Series G-1 through G-4 convertible preferred units, and Series D-13 redeemable preferred units are included in the calculation of diluted income (loss) per share using the if-converted method, if the effect is dilutive. Net (loss) income is allocated to redeemable Class A units of the Operating Partnership on a one-for-one basis with Vornado common shares. As such, redemption of these units for Vornado common shares would not have a dilutive effect on (loss) income per common share.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share amounts)</w:t>
            </w:r>
          </w:p>
        </w:tc>
        <w:tc>
          <w:tcPr>
            <w:tcW w:w="100" w:type="dxa"/>
            <w:vAlign w:val="bottom"/>
          </w:tcPr>
          <w:p>
            <w:pPr>
              <w:spacing w:after="0"/>
              <w:rPr>
                <w:sz w:val="16"/>
                <w:szCs w:val="16"/>
                <w:color w:val="auto"/>
              </w:rPr>
            </w:pPr>
          </w:p>
        </w:tc>
        <w:tc>
          <w:tcPr>
            <w:tcW w:w="28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760" w:type="dxa"/>
            <w:vAlign w:val="bottom"/>
            <w:gridSpan w:val="5"/>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4"/>
        </w:trPr>
        <w:tc>
          <w:tcPr>
            <w:tcW w:w="5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5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1"/>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Vornado</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(31,613)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27,115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888,828</w:t>
            </w:r>
          </w:p>
        </w:tc>
        <w:tc>
          <w:tcPr>
            <w:tcW w:w="0" w:type="dxa"/>
            <w:vAlign w:val="bottom"/>
          </w:tcPr>
          <w:p>
            <w:pPr>
              <w:spacing w:after="0"/>
              <w:rPr>
                <w:sz w:val="1"/>
                <w:szCs w:val="1"/>
                <w:color w:val="auto"/>
              </w:rPr>
            </w:pPr>
          </w:p>
        </w:tc>
      </w:tr>
      <w:tr>
        <w:trPr>
          <w:trHeight w:val="192"/>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Preferred share dividends</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(46,575)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(46,578)</w:t>
            </w:r>
          </w:p>
        </w:tc>
        <w:tc>
          <w:tcPr>
            <w:tcW w:w="0" w:type="dxa"/>
            <w:vAlign w:val="bottom"/>
          </w:tcPr>
          <w:p>
            <w:pPr>
              <w:spacing w:after="0"/>
              <w:rPr>
                <w:sz w:val="1"/>
                <w:szCs w:val="1"/>
                <w:color w:val="auto"/>
              </w:rPr>
            </w:pPr>
          </w:p>
        </w:tc>
      </w:tr>
      <w:tr>
        <w:trPr>
          <w:trHeight w:val="19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common shareholders</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(47,138)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(53,546)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842,250</w:t>
            </w:r>
          </w:p>
        </w:tc>
        <w:tc>
          <w:tcPr>
            <w:tcW w:w="0" w:type="dxa"/>
            <w:vAlign w:val="bottom"/>
          </w:tcPr>
          <w:p>
            <w:pPr>
              <w:spacing w:after="0"/>
              <w:rPr>
                <w:sz w:val="1"/>
                <w:szCs w:val="1"/>
                <w:color w:val="auto"/>
              </w:rPr>
            </w:pPr>
          </w:p>
        </w:tc>
      </w:tr>
      <w:tr>
        <w:trPr>
          <w:trHeight w:val="192"/>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Distributions and earnings allocated to unvested participating securities</w:t>
            </w: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 for basic (loss) income per common share</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(47,138)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(53,546)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842,250</w:t>
            </w:r>
          </w:p>
        </w:tc>
        <w:tc>
          <w:tcPr>
            <w:tcW w:w="0" w:type="dxa"/>
            <w:vAlign w:val="bottom"/>
          </w:tcPr>
          <w:p>
            <w:pPr>
              <w:spacing w:after="0"/>
              <w:rPr>
                <w:sz w:val="1"/>
                <w:szCs w:val="1"/>
                <w:color w:val="auto"/>
              </w:rPr>
            </w:pPr>
          </w:p>
        </w:tc>
      </w:tr>
      <w:tr>
        <w:trPr>
          <w:trHeight w:val="192"/>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assumed conversion of dilutive convertible securities</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0" w:type="dxa"/>
            <w:vAlign w:val="bottom"/>
          </w:tcPr>
          <w:p>
            <w:pPr>
              <w:spacing w:after="0"/>
              <w:rPr>
                <w:sz w:val="1"/>
                <w:szCs w:val="1"/>
                <w:color w:val="auto"/>
              </w:rPr>
            </w:pPr>
          </w:p>
        </w:tc>
      </w:tr>
      <w:tr>
        <w:trPr>
          <w:trHeight w:val="224"/>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 for diluted (loss) income per common share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843,439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 for basic (loss) income per common share - weighted average shares</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186,822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192,050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187,909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191,804</w:t>
            </w:r>
          </w:p>
        </w:tc>
        <w:tc>
          <w:tcPr>
            <w:tcW w:w="0" w:type="dxa"/>
            <w:vAlign w:val="bottom"/>
          </w:tcPr>
          <w:p>
            <w:pPr>
              <w:spacing w:after="0"/>
              <w:rPr>
                <w:sz w:val="1"/>
                <w:szCs w:val="1"/>
                <w:color w:val="auto"/>
              </w:rPr>
            </w:pPr>
          </w:p>
        </w:tc>
      </w:tr>
      <w:tr>
        <w:trPr>
          <w:trHeight w:val="199"/>
        </w:trPr>
        <w:tc>
          <w:tcPr>
            <w:tcW w:w="5520" w:type="dxa"/>
            <w:vAlign w:val="bottom"/>
          </w:tcPr>
          <w:p>
            <w:pPr>
              <w:ind w:left="20"/>
              <w:spacing w:after="0" w:line="199" w:lineRule="exact"/>
              <w:rPr>
                <w:sz w:val="20"/>
                <w:szCs w:val="20"/>
                <w:color w:val="auto"/>
              </w:rPr>
            </w:pPr>
            <w:r>
              <w:rPr>
                <w:rFonts w:ascii="Times New Roman" w:cs="Times New Roman" w:eastAsia="Times New Roman" w:hAnsi="Times New Roman"/>
                <w:sz w:val="14"/>
                <w:szCs w:val="14"/>
                <w:color w:val="auto"/>
              </w:rPr>
              <w:t>Effect of dilutive securities</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Share-based payment awards</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0" w:type="dxa"/>
            <w:vAlign w:val="bottom"/>
          </w:tcPr>
          <w:p>
            <w:pPr>
              <w:spacing w:after="0"/>
              <w:rPr>
                <w:sz w:val="1"/>
                <w:szCs w:val="1"/>
                <w:color w:val="auto"/>
              </w:rPr>
            </w:pPr>
          </w:p>
        </w:tc>
      </w:tr>
      <w:tr>
        <w:trPr>
          <w:trHeight w:val="192"/>
        </w:trPr>
        <w:tc>
          <w:tcPr>
            <w:tcW w:w="5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Convertible securities</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0" w:type="dxa"/>
            <w:vAlign w:val="bottom"/>
          </w:tcPr>
          <w:p>
            <w:pPr>
              <w:spacing w:after="0"/>
              <w:rPr>
                <w:sz w:val="1"/>
                <w:szCs w:val="1"/>
                <w:color w:val="auto"/>
              </w:rPr>
            </w:pPr>
          </w:p>
        </w:tc>
      </w:tr>
      <w:tr>
        <w:trPr>
          <w:trHeight w:val="123"/>
        </w:trPr>
        <w:tc>
          <w:tcPr>
            <w:tcW w:w="5520" w:type="dxa"/>
            <w:vAlign w:val="bottom"/>
            <w:tcBorders>
              <w:top w:val="single" w:sz="8" w:color="CCEEFF"/>
            </w:tcBorders>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color w:val="auto"/>
              </w:rPr>
              <w:t>Denominator for diluted (loss) income per common share - weighted average shares and</w:t>
            </w:r>
          </w:p>
        </w:tc>
        <w:tc>
          <w:tcPr>
            <w:tcW w:w="100" w:type="dxa"/>
            <w:vAlign w:val="bottom"/>
            <w:tcBorders>
              <w:top w:val="single" w:sz="8" w:color="auto"/>
            </w:tcBorders>
            <w:shd w:val="clear" w:color="auto" w:fill="CCEEFF"/>
          </w:tcPr>
          <w:p>
            <w:pPr>
              <w:spacing w:after="0"/>
              <w:rPr>
                <w:sz w:val="10"/>
                <w:szCs w:val="10"/>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186,846</w:t>
            </w:r>
          </w:p>
        </w:tc>
        <w:tc>
          <w:tcPr>
            <w:tcW w:w="1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200,150</w:t>
            </w:r>
          </w:p>
        </w:tc>
        <w:tc>
          <w:tcPr>
            <w:tcW w:w="1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187,909</w:t>
            </w:r>
          </w:p>
        </w:tc>
        <w:tc>
          <w:tcPr>
            <w:tcW w:w="1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201,098</w:t>
            </w:r>
          </w:p>
        </w:tc>
        <w:tc>
          <w:tcPr>
            <w:tcW w:w="0" w:type="dxa"/>
            <w:vAlign w:val="bottom"/>
          </w:tcPr>
          <w:p>
            <w:pPr>
              <w:spacing w:after="0"/>
              <w:rPr>
                <w:sz w:val="1"/>
                <w:szCs w:val="1"/>
                <w:color w:val="auto"/>
              </w:rPr>
            </w:pPr>
          </w:p>
        </w:tc>
      </w:tr>
      <w:tr>
        <w:trPr>
          <w:trHeight w:val="188"/>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assumed conversions</w:t>
            </w:r>
          </w:p>
        </w:tc>
        <w:tc>
          <w:tcPr>
            <w:tcW w:w="1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(LOSS) INCOME PER COMMON SHARE: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w:t>
      </w:r>
    </w:p>
    <w:p>
      <w:pPr>
        <w:spacing w:after="0" w:line="12" w:lineRule="exact"/>
        <w:rPr>
          <w:sz w:val="20"/>
          <w:szCs w:val="20"/>
          <w:color w:val="auto"/>
        </w:rPr>
      </w:pPr>
    </w:p>
    <w:p>
      <w:pPr>
        <w:jc w:val="both"/>
        <w:ind w:left="320" w:hanging="314"/>
        <w:spacing w:after="0" w:line="262" w:lineRule="auto"/>
        <w:tabs>
          <w:tab w:leader="none" w:pos="312" w:val="left"/>
        </w:tabs>
        <w:numPr>
          <w:ilvl w:val="0"/>
          <w:numId w:val="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calculation of diluted (loss) income per common share for the three and nine months ended September 30, 2026 excluded weighted average potential common shares of 9,438 and 8,565, respectively, as their effect was antidilutive. The calculation of diluted (loss) income per common share for the three months ended September 30, 2025 excluded weighted average potential common share equivalents of 1,291 as their effect was antidilutive. There were no antidilutive potential common share equivalents for the nine months ended September 30, 2025.</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30" w:name="page31"/>
    <w:bookmarkEnd w:id="30"/>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right="6460" w:hanging="314"/>
        <w:spacing w:after="0" w:line="308" w:lineRule="auto"/>
        <w:tabs>
          <w:tab w:leader="none" w:pos="399"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(Loss) Income Per Share and Per Class A Unit - continued </w:t>
      </w:r>
      <w:r>
        <w:rPr>
          <w:rFonts w:ascii="Times New Roman" w:cs="Times New Roman" w:eastAsia="Times New Roman" w:hAnsi="Times New Roman"/>
          <w:sz w:val="18"/>
          <w:szCs w:val="18"/>
          <w:i w:val="1"/>
          <w:iCs w:val="1"/>
          <w:color w:val="auto"/>
        </w:rPr>
        <w:t>Vornado Realty L.P.</w:t>
      </w:r>
    </w:p>
    <w:p>
      <w:pPr>
        <w:spacing w:after="0" w:line="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Basic net (loss) income per Class A unit is computed by dividing (i) net (loss) income attributable to Class A unitholders after allocation of distributions and undistributed earnings to participating securities by (ii) the weighted average number of Class A units outstanding for the period. Diluted earnings per unit reflects the dilutive impact of potential Class A units and is computed after allocation of earnings to participating securities. Vornado Realty L.P.’s participating securities include unvested LTIP Units and LTPP Units for which the applicable performance vesting conditions were satisfied. Equity awards subject to market and/or performance vesting conditions, including Vornado stock options, OPP Units, AO LTIP Units, Performance AO LTIP Units and LTPP Units, are included in the calculation of diluted (loss) income per Class A unit using the treasury stock method, if the effect is dilutive. Convertible securities, including Series A convertible preferred units, Series G-1 through G-4 convertible preferred units, and Series D-13 redeemable preferred units, are included in the calculation of diluted (loss) income per Class A unit using the if-converted method, if the effect is dilutive.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unit amounts)</w:t>
            </w:r>
          </w:p>
        </w:tc>
        <w:tc>
          <w:tcPr>
            <w:tcW w:w="100" w:type="dxa"/>
            <w:vAlign w:val="bottom"/>
          </w:tcPr>
          <w:p>
            <w:pPr>
              <w:spacing w:after="0"/>
              <w:rPr>
                <w:sz w:val="16"/>
                <w:szCs w:val="16"/>
                <w:color w:val="auto"/>
              </w:rPr>
            </w:pPr>
          </w:p>
        </w:tc>
        <w:tc>
          <w:tcPr>
            <w:tcW w:w="28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20" w:type="dxa"/>
            <w:vAlign w:val="bottom"/>
          </w:tcPr>
          <w:p>
            <w:pPr>
              <w:spacing w:after="0"/>
              <w:rPr>
                <w:sz w:val="16"/>
                <w:szCs w:val="16"/>
                <w:color w:val="auto"/>
              </w:rPr>
            </w:pPr>
          </w:p>
        </w:tc>
        <w:tc>
          <w:tcPr>
            <w:tcW w:w="2740" w:type="dxa"/>
            <w:vAlign w:val="bottom"/>
            <w:gridSpan w:val="4"/>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Vornado Realty L.P.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(35,784)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962,616</w:t>
            </w:r>
          </w:p>
        </w:tc>
        <w:tc>
          <w:tcPr>
            <w:tcW w:w="0" w:type="dxa"/>
            <w:vAlign w:val="bottom"/>
          </w:tcPr>
          <w:p>
            <w:pPr>
              <w:spacing w:after="0"/>
              <w:rPr>
                <w:sz w:val="1"/>
                <w:szCs w:val="1"/>
                <w:color w:val="auto"/>
              </w:rPr>
            </w:pPr>
          </w:p>
        </w:tc>
      </w:tr>
      <w:tr>
        <w:trPr>
          <w:trHeight w:val="192"/>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Preferred unit distributions</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(15,554)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(15,555)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(46,661)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(46,664)</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Class A unitholders</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(51,338)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(58,333)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915,952</w:t>
            </w:r>
          </w:p>
        </w:tc>
        <w:tc>
          <w:tcPr>
            <w:tcW w:w="0" w:type="dxa"/>
            <w:vAlign w:val="bottom"/>
          </w:tcPr>
          <w:p>
            <w:pPr>
              <w:spacing w:after="0"/>
              <w:rPr>
                <w:sz w:val="1"/>
                <w:szCs w:val="1"/>
                <w:color w:val="auto"/>
              </w:rPr>
            </w:pPr>
          </w:p>
        </w:tc>
      </w:tr>
      <w:tr>
        <w:trPr>
          <w:trHeight w:val="192"/>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Distributions and earnings allocated to unvested participating securities</w:t>
            </w: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(12,792)</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 for basic (loss) income per Class A unit</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(51,338)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(58,333)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903,160</w:t>
            </w:r>
          </w:p>
        </w:tc>
        <w:tc>
          <w:tcPr>
            <w:tcW w:w="0" w:type="dxa"/>
            <w:vAlign w:val="bottom"/>
          </w:tcPr>
          <w:p>
            <w:pPr>
              <w:spacing w:after="0"/>
              <w:rPr>
                <w:sz w:val="1"/>
                <w:szCs w:val="1"/>
                <w:color w:val="auto"/>
              </w:rPr>
            </w:pPr>
          </w:p>
        </w:tc>
      </w:tr>
      <w:tr>
        <w:trPr>
          <w:trHeight w:val="192"/>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assumed conversion of dilutive convertible securities</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0" w:type="dxa"/>
            <w:vAlign w:val="bottom"/>
          </w:tcPr>
          <w:p>
            <w:pPr>
              <w:spacing w:after="0"/>
              <w:rPr>
                <w:sz w:val="1"/>
                <w:szCs w:val="1"/>
                <w:color w:val="auto"/>
              </w:rPr>
            </w:pPr>
          </w:p>
        </w:tc>
      </w:tr>
      <w:tr>
        <w:trPr>
          <w:trHeight w:val="224"/>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 for diluted (loss) income per Class A unit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904,349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 for basic (loss) income per Class A unit - weighted average units</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202,080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202,661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205,806</w:t>
            </w:r>
          </w:p>
        </w:tc>
        <w:tc>
          <w:tcPr>
            <w:tcW w:w="0" w:type="dxa"/>
            <w:vAlign w:val="bottom"/>
          </w:tcPr>
          <w:p>
            <w:pPr>
              <w:spacing w:after="0"/>
              <w:rPr>
                <w:sz w:val="1"/>
                <w:szCs w:val="1"/>
                <w:color w:val="auto"/>
              </w:rPr>
            </w:pPr>
          </w:p>
        </w:tc>
      </w:tr>
      <w:tr>
        <w:trPr>
          <w:trHeight w:val="199"/>
        </w:trPr>
        <w:tc>
          <w:tcPr>
            <w:tcW w:w="5420" w:type="dxa"/>
            <w:vAlign w:val="bottom"/>
          </w:tcPr>
          <w:p>
            <w:pPr>
              <w:ind w:left="20"/>
              <w:spacing w:after="0" w:line="199" w:lineRule="exact"/>
              <w:rPr>
                <w:sz w:val="20"/>
                <w:szCs w:val="20"/>
                <w:color w:val="auto"/>
              </w:rPr>
            </w:pPr>
            <w:r>
              <w:rPr>
                <w:rFonts w:ascii="Times New Roman" w:cs="Times New Roman" w:eastAsia="Times New Roman" w:hAnsi="Times New Roman"/>
                <w:sz w:val="14"/>
                <w:szCs w:val="14"/>
                <w:color w:val="auto"/>
              </w:rPr>
              <w:t>Effect of dilutive securities</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Unit-based payment awards</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0" w:type="dxa"/>
            <w:vAlign w:val="bottom"/>
          </w:tcPr>
          <w:p>
            <w:pPr>
              <w:spacing w:after="0"/>
              <w:rPr>
                <w:sz w:val="1"/>
                <w:szCs w:val="1"/>
                <w:color w:val="auto"/>
              </w:rPr>
            </w:pPr>
          </w:p>
        </w:tc>
      </w:tr>
      <w:tr>
        <w:trPr>
          <w:trHeight w:val="192"/>
        </w:trPr>
        <w:tc>
          <w:tcPr>
            <w:tcW w:w="5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Convertible securities</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0" w:type="dxa"/>
            <w:vAlign w:val="bottom"/>
          </w:tcPr>
          <w:p>
            <w:pPr>
              <w:spacing w:after="0"/>
              <w:rPr>
                <w:sz w:val="1"/>
                <w:szCs w:val="1"/>
                <w:color w:val="auto"/>
              </w:rPr>
            </w:pPr>
          </w:p>
        </w:tc>
      </w:tr>
      <w:tr>
        <w:trPr>
          <w:trHeight w:val="123"/>
        </w:trPr>
        <w:tc>
          <w:tcPr>
            <w:tcW w:w="5420" w:type="dxa"/>
            <w:vAlign w:val="bottom"/>
            <w:tcBorders>
              <w:top w:val="single" w:sz="8" w:color="CCEEFF"/>
            </w:tcBorders>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color w:val="auto"/>
              </w:rPr>
              <w:t>Denominator for diluted (loss) income per Class A unit - weighted average units and assumed</w:t>
            </w:r>
          </w:p>
        </w:tc>
        <w:tc>
          <w:tcPr>
            <w:tcW w:w="100" w:type="dxa"/>
            <w:vAlign w:val="bottom"/>
            <w:tcBorders>
              <w:top w:val="single" w:sz="8" w:color="auto"/>
            </w:tcBorders>
            <w:shd w:val="clear" w:color="auto" w:fill="CCEEFF"/>
          </w:tcPr>
          <w:p>
            <w:pPr>
              <w:spacing w:after="0"/>
              <w:rPr>
                <w:sz w:val="10"/>
                <w:szCs w:val="10"/>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202,104</w:t>
            </w:r>
          </w:p>
        </w:tc>
        <w:tc>
          <w:tcPr>
            <w:tcW w:w="1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213,946</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202,661</w:t>
            </w:r>
          </w:p>
        </w:tc>
        <w:tc>
          <w:tcPr>
            <w:tcW w:w="1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215,100</w:t>
            </w:r>
          </w:p>
        </w:tc>
        <w:tc>
          <w:tcPr>
            <w:tcW w:w="0" w:type="dxa"/>
            <w:vAlign w:val="bottom"/>
          </w:tcPr>
          <w:p>
            <w:pPr>
              <w:spacing w:after="0"/>
              <w:rPr>
                <w:sz w:val="1"/>
                <w:szCs w:val="1"/>
                <w:color w:val="auto"/>
              </w:rPr>
            </w:pPr>
          </w:p>
        </w:tc>
      </w:tr>
      <w:tr>
        <w:trPr>
          <w:trHeight w:val="188"/>
        </w:trPr>
        <w:tc>
          <w:tcPr>
            <w:tcW w:w="5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conversions</w:t>
            </w:r>
          </w:p>
        </w:tc>
        <w:tc>
          <w:tcPr>
            <w:tcW w:w="1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(LOSS) INCOME PER CLASS A UNIT:</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w:t>
      </w:r>
    </w:p>
    <w:p>
      <w:pPr>
        <w:spacing w:after="0" w:line="12" w:lineRule="exact"/>
        <w:rPr>
          <w:sz w:val="20"/>
          <w:szCs w:val="20"/>
          <w:color w:val="auto"/>
        </w:rPr>
      </w:pPr>
    </w:p>
    <w:p>
      <w:pPr>
        <w:jc w:val="both"/>
        <w:ind w:left="320" w:hanging="314"/>
        <w:spacing w:after="0" w:line="262" w:lineRule="auto"/>
        <w:tabs>
          <w:tab w:leader="none" w:pos="312" w:val="left"/>
        </w:tabs>
        <w:numPr>
          <w:ilvl w:val="0"/>
          <w:numId w:val="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calculation of diluted (loss) income per Class A unit for the three and nine months ended September 30, 2026 excluded weighted average potential Class A units of 9,438 and 8,565, respectively, as their effect was antidilutive. The calculation of diluted (loss) income per Class A unit for the three months ended September 30, 2025 excluded weighted average potential Class A units of 1,291 as their effect was antidilutive. There were no antidilutive potential Class A unit equivalents for the nine months ended September 30, 2025.</w:t>
      </w:r>
    </w:p>
    <w:p>
      <w:pPr>
        <w:spacing w:after="0" w:line="83" w:lineRule="exact"/>
        <w:rPr>
          <w:sz w:val="20"/>
          <w:szCs w:val="20"/>
          <w:color w:val="auto"/>
        </w:rPr>
      </w:pPr>
    </w:p>
    <w:p>
      <w:pPr>
        <w:ind w:left="320" w:right="8200" w:hanging="314"/>
        <w:spacing w:after="0" w:line="308" w:lineRule="auto"/>
        <w:tabs>
          <w:tab w:leader="none" w:pos="396"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Variable Interest Entities ("VIEs") </w:t>
      </w:r>
      <w:r>
        <w:rPr>
          <w:rFonts w:ascii="Times New Roman" w:cs="Times New Roman" w:eastAsia="Times New Roman" w:hAnsi="Times New Roman"/>
          <w:sz w:val="18"/>
          <w:szCs w:val="18"/>
          <w:i w:val="1"/>
          <w:iCs w:val="1"/>
          <w:color w:val="auto"/>
        </w:rPr>
        <w:t>Unconsolidated VIEs</w:t>
      </w:r>
    </w:p>
    <w:p>
      <w:pPr>
        <w:spacing w:after="0" w:line="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As of September 30, 2026 and December 31, 2025, we had several unconsolidated VIEs. We do not consolidate these entities because we are not the primary beneficiary and the nature of our involvement in the activities of these entities does not give us power over decisions that significantly affect these entities’ economic performance. We primarily account for our investment in these entities under the equity method (see Note 5 – </w:t>
      </w:r>
      <w:r>
        <w:rPr>
          <w:rFonts w:ascii="Times New Roman" w:cs="Times New Roman" w:eastAsia="Times New Roman" w:hAnsi="Times New Roman"/>
          <w:sz w:val="18"/>
          <w:szCs w:val="18"/>
          <w:i w:val="1"/>
          <w:iCs w:val="1"/>
          <w:color w:val="auto"/>
        </w:rPr>
        <w:t>Investments in Partially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Owned Entities</w:t>
      </w:r>
      <w:r>
        <w:rPr>
          <w:rFonts w:ascii="Times New Roman" w:cs="Times New Roman" w:eastAsia="Times New Roman" w:hAnsi="Times New Roman"/>
          <w:sz w:val="18"/>
          <w:szCs w:val="18"/>
          <w:color w:val="auto"/>
        </w:rPr>
        <w:t>). As of September 30, 2026 and December 31, 2025, $305,593,000 and $264,336,000, respectively, of the carrying amount of assets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unconsolidated VIEs were included in “investments in partially owned entities” on our consolidated balance sheets. Additionally, as of September 30, 2026 and December 31, 2025, $0 and $107,166,000, respectively, were included in “other assets” on our consolidated balance sheets. Our maximum exposure to loss from our unconsolidated VIEs as of September 30, 2026 and December 31, 2025 was $367,887,000 and $374,502,000,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31" w:name="page32"/>
    <w:bookmarkEnd w:id="31"/>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right="7320" w:hanging="314"/>
        <w:spacing w:after="0" w:line="308" w:lineRule="auto"/>
        <w:tabs>
          <w:tab w:leader="none" w:pos="396"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Variable Interest Entities ("VIEs") - continued </w:t>
      </w:r>
      <w:r>
        <w:rPr>
          <w:rFonts w:ascii="Times New Roman" w:cs="Times New Roman" w:eastAsia="Times New Roman" w:hAnsi="Times New Roman"/>
          <w:sz w:val="18"/>
          <w:szCs w:val="18"/>
          <w:i w:val="1"/>
          <w:iCs w:val="1"/>
          <w:color w:val="auto"/>
        </w:rPr>
        <w:t>Consolidated VIEs</w:t>
      </w:r>
    </w:p>
    <w:p>
      <w:pPr>
        <w:spacing w:after="0" w:line="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most significant consolidated VIEs are the Operating Partnership (for Vornado), the Farley Building and certain properties that have noncontrolling interests. These entities are VIEs because the noncontrolling interests do not have substantive kick-out or participating rights. We consolidate these entities because we control all significant business activities.</w:t>
      </w:r>
    </w:p>
    <w:p>
      <w:pPr>
        <w:spacing w:after="0" w:line="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September 30, 2026, the total assets and liabilities of our consolidated VIEs, excluding the Operating Partnership, were $4,512,454,000 and $2,676,547,000, respectively. As of December 31, 2025, the total assets and liabilities of our consolidated VIEs, excluding the Operating Partnership, were $4,734,109,000 and $2,744,932,000, respectively.</w:t>
      </w:r>
    </w:p>
    <w:p>
      <w:pPr>
        <w:spacing w:after="0" w:line="7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60"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ASC 820 defines fair value and establishes a framework for measuring fair value. The objective of fair value is to determine the price that would be received upon the sale of an asset or paid to transfer a liability in an orderly transaction between market participants at the measurement date (the exit price). ASC 820 establishes a fair value hierarchy that prioritizes observable and unobservable inputs used to measure fair value into three levels: Level 1 – quoted prices (unadjusted) in active markets that are accessible at the measurement date for assets or liabilities as well as certain U.S. Treasury securities that are highly liquid and are actively traded in secondary markets; Level 2 – observable prices that are based on inputs not quoted in active markets, but corroborated by market data; and Level 3 – unobservable inputs that are used when little or no market data is available. The fair value hierarchy gives the highest priority to Level 1 inputs and the lowest priority to Level 3 inputs. In determining fair value, we utilize valuation techniques that maximize the use of observable inputs and minimize the use of unobservable inputs to the extent possible, as well as consider counterparty credit risk in our assessment of fair value. Considerable judgment is necessary to interpret Level 2 and 3 inputs in determining the fair value of our financial and non-financial assets and liabilities. Accordingly, our fair value estimates, which are made at the end of each reporting period, may be different than the amounts that may ultimately be realized upon sale or disposition of these assets.</w:t>
      </w:r>
    </w:p>
    <w:p>
      <w:pPr>
        <w:spacing w:after="0" w:line="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Financial Assets and Liabilities Measured at Fair Value on a Recurring Basis</w:t>
      </w:r>
    </w:p>
    <w:p>
      <w:pPr>
        <w:spacing w:after="0" w:line="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Financial assets and liabilities that are measured at fair value on our consolidated balance sheets consist of (i) the assets in our deferred compensation plan (for which there is a corresponding liability on our consolidated balance sheets), (ii) loans receivable (for which we have elected the fair value option under ASC Subtopic 825-10,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825-10")), (iii) interest rate swaps and caps, and (iv) mandatorily redeemable instruments (Series G-1 through G-4 convertible preferred units and Series D-13 cumulative redeemable preferred units). The tables below aggregate the fair values of these financial assets and liabilities by their levels in the fair value hierarchy.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5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5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00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8"/>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compensation plan assets ($26,959 included in restricted cash and $75,585 in other assets)</w:t>
            </w: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102,544</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70,143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32,401</w:t>
            </w:r>
          </w:p>
        </w:tc>
      </w:tr>
      <w:tr>
        <w:trPr>
          <w:trHeight w:val="191"/>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 and caps designated as a hedge (included in other assets)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44,051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44,051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caps not designated as a hedge (included in other assets)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1,987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5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148,582</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70,143</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46,038</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32,401</w:t>
            </w: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1"/>
        </w:trPr>
        <w:tc>
          <w:tcPr>
            <w:tcW w:w="5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9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Mandatorily redeemable instruments (included in other liabilities)</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49,489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49,489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caps not designated as a hedge (included in other liabilities)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4"/>
        </w:trPr>
        <w:tc>
          <w:tcPr>
            <w:tcW w:w="59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333"/>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
        </w:trPr>
        <w:tc>
          <w:tcPr>
            <w:tcW w:w="5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5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00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8"/>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compensation plan assets ($17,590 included in restricted cash and $96,188 in other assets)</w:t>
            </w: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113,778</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73,192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40,586</w:t>
            </w:r>
          </w:p>
        </w:tc>
      </w:tr>
      <w:tr>
        <w:trPr>
          <w:trHeight w:val="191"/>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receivable (included in other assets)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107,166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107,166</w:t>
            </w:r>
          </w:p>
        </w:tc>
      </w:tr>
      <w:tr>
        <w:trPr>
          <w:trHeight w:val="20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 and caps designated as a hedge (included in other assets)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13,985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caps not designated as a hedge (included in other assets)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4"/>
        </w:trPr>
        <w:tc>
          <w:tcPr>
            <w:tcW w:w="59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14,027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147,752</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5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9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Mandatorily redeemable instruments (included in other liabilities)</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 designated as a hedge (included in other liabilities)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4"/>
        </w:trPr>
        <w:tc>
          <w:tcPr>
            <w:tcW w:w="59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32" w:name="page33"/>
    <w:bookmarkEnd w:id="32"/>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Fair Value Measurements - continued</w:t>
      </w:r>
    </w:p>
    <w:p>
      <w:pPr>
        <w:spacing w:after="0" w:line="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Financial Assets and Liabilities Measured at Fair Value on a Recurring Basis - continued</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Deferred Compensation Plan Assets</w:t>
      </w:r>
    </w:p>
    <w:p>
      <w:pPr>
        <w:spacing w:after="0" w:line="5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Deferred compensation plan assets that are classified as Level 3 consist of investments in limited partnerships and investment funds, which are managed by third parties. We receive quarterly financial reports that provide net asset values on a fair value basis from a third-party administrator, which are compiled from the quarterly reports provided to them from each limited partnership and investment fund. The period of time over which these underlying assets are expected to be liquidated is unknown. The third-party administrator does not adjust these values in determining our share of the net assets and we do not adjust these values when reported in our consolidated financial statements.</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summarizes the changes in the fair value of deferred compensation plan assets that are classified as Level 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00" w:type="dxa"/>
            <w:vAlign w:val="bottom"/>
          </w:tcPr>
          <w:p>
            <w:pPr>
              <w:spacing w:after="0"/>
              <w:rPr>
                <w:sz w:val="13"/>
                <w:szCs w:val="13"/>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Pr>
          <w:p>
            <w:pPr>
              <w:spacing w:after="0"/>
              <w:rPr>
                <w:sz w:val="13"/>
                <w:szCs w:val="13"/>
                <w:color w:val="auto"/>
              </w:rPr>
            </w:pPr>
          </w:p>
        </w:tc>
        <w:tc>
          <w:tcPr>
            <w:tcW w:w="190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1"/>
        </w:trPr>
        <w:tc>
          <w:tcPr>
            <w:tcW w:w="6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Pr>
          <w:p>
            <w:pPr>
              <w:spacing w:after="0"/>
              <w:rPr>
                <w:sz w:val="16"/>
                <w:szCs w:val="16"/>
                <w:color w:val="auto"/>
              </w:rPr>
            </w:pPr>
          </w:p>
        </w:tc>
        <w:tc>
          <w:tcPr>
            <w:tcW w:w="190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198"/>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36,007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40,586</w:t>
            </w:r>
          </w:p>
        </w:tc>
      </w:tr>
      <w:tr>
        <w:trPr>
          <w:trHeight w:val="191"/>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w:t>
            </w:r>
          </w:p>
        </w:tc>
        <w:tc>
          <w:tcPr>
            <w:tcW w:w="100" w:type="dxa"/>
            <w:vAlign w:val="bottom"/>
          </w:tcPr>
          <w:p>
            <w:pPr>
              <w:spacing w:after="0"/>
              <w:rPr>
                <w:sz w:val="16"/>
                <w:szCs w:val="16"/>
                <w:color w:val="auto"/>
              </w:rPr>
            </w:pPr>
          </w:p>
        </w:tc>
        <w:tc>
          <w:tcPr>
            <w:tcW w:w="1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7,526</w:t>
            </w:r>
          </w:p>
        </w:tc>
      </w:tr>
      <w:tr>
        <w:trPr>
          <w:trHeight w:val="20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w:t>
            </w:r>
          </w:p>
        </w:tc>
        <w:tc>
          <w:tcPr>
            <w:tcW w:w="10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(8,561)</w:t>
            </w:r>
          </w:p>
        </w:tc>
      </w:tr>
      <w:tr>
        <w:trPr>
          <w:trHeight w:val="191"/>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and unrealized losses</w:t>
            </w:r>
          </w:p>
        </w:tc>
        <w:tc>
          <w:tcPr>
            <w:tcW w:w="10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(9,740)</w:t>
            </w:r>
          </w:p>
        </w:tc>
      </w:tr>
      <w:tr>
        <w:trPr>
          <w:trHeight w:val="19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0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2,590</w:t>
            </w:r>
          </w:p>
        </w:tc>
      </w:tr>
      <w:tr>
        <w:trPr>
          <w:trHeight w:val="199"/>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32,401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32,401</w:t>
            </w: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 Receivable</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summarizes the changes in fair value of loans receivable that are classified as Level 3.</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20" w:type="dxa"/>
            <w:vAlign w:val="bottom"/>
          </w:tcPr>
          <w:p>
            <w:pPr>
              <w:spacing w:after="0"/>
              <w:rPr>
                <w:sz w:val="13"/>
                <w:szCs w:val="13"/>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Pr>
          <w:p>
            <w:pPr>
              <w:spacing w:after="0"/>
              <w:rPr>
                <w:sz w:val="13"/>
                <w:szCs w:val="13"/>
                <w:color w:val="auto"/>
              </w:rPr>
            </w:pPr>
          </w:p>
        </w:tc>
        <w:tc>
          <w:tcPr>
            <w:tcW w:w="2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92"/>
        </w:trPr>
        <w:tc>
          <w:tcPr>
            <w:tcW w:w="6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6"/>
                <w:szCs w:val="16"/>
                <w:color w:val="auto"/>
              </w:rPr>
            </w:pPr>
          </w:p>
        </w:tc>
        <w:tc>
          <w:tcPr>
            <w:tcW w:w="21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198"/>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Borders>
              <w:top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107,166</w:t>
            </w: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Repayments</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24"/>
                <w:szCs w:val="24"/>
                <w:color w:val="auto"/>
              </w:rPr>
            </w:pPr>
          </w:p>
        </w:tc>
        <w:tc>
          <w:tcPr>
            <w:tcW w:w="2000" w:type="dxa"/>
            <w:vAlign w:val="bottom"/>
            <w:gridSpan w:val="2"/>
          </w:tcPr>
          <w:p>
            <w:pPr>
              <w:ind w:left="1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2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 xml:space="preserve">(107,337)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9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accrual</w:t>
            </w:r>
          </w:p>
        </w:tc>
        <w:tc>
          <w:tcPr>
            <w:tcW w:w="12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Borders>
              <w:top w:val="single" w:sz="8" w:color="auto"/>
              <w:bottom w:val="single" w:sz="8" w:color="auto"/>
            </w:tcBorders>
          </w:tcPr>
          <w:p>
            <w:pPr>
              <w:ind w:left="1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w:t>
            </w: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20" w:hanging="314"/>
        <w:spacing w:after="0" w:line="288" w:lineRule="auto"/>
        <w:tabs>
          <w:tab w:leader="none" w:pos="312"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In January 2026, we acquired 3 East 54th Street and the outstanding loan balance, including default interest and advances, was credited towards the purchase price. See Note 6 -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xml:space="preserve"> for further details.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33" w:name="page34"/>
    <w:bookmarkEnd w:id="33"/>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Fair Value Measurements - continued</w:t>
      </w:r>
    </w:p>
    <w:p>
      <w:pPr>
        <w:spacing w:after="0" w:line="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Financial Assets and Liabilities Measured at Fair Value on a Recurring Basis - continued</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Derivatives and Hedging</w:t>
      </w:r>
    </w:p>
    <w:p>
      <w:pPr>
        <w:spacing w:after="0" w:line="5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use derivative instruments principally to reduce our exposure to interest rate increases. We do not enter into or hold derivative instruments for speculative trading purposes. We recognize the fair values of all derivatives in "other assets" or "other liabilities" on our consolidated balance sheets. Changes in the fair value of our cash flow hedges are recognized in other comprehensive income until the hedged item is recognized in earnings. Reported net income and equity may increase or decrease prospectively, depending on future levels of interest rates and other variables affecting the fair values of hedging instruments and hedged items, but will have no effect on cash flows. Cash payments and receipts related to our interest rate hedges are classified as operating activities and included within our disclosure of cash paid for interest on our consolidated statements of cash flows, consistent with the classification of the hedged interest payments.</w:t>
      </w:r>
    </w:p>
    <w:p>
      <w:pPr>
        <w:spacing w:after="0" w:line="28"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The following table summarizes our consolidated hedging instruments, all of which hedge variable rate debt, as of September 30, 2026 and December 31, 2025.</w:t>
      </w:r>
    </w:p>
    <w:tbl>
      <w:tblPr>
        <w:tblLayout w:type="fixed"/>
        <w:tblInd w:w="0" w:type="dxa"/>
        <w:tblCellMar>
          <w:top w:w="0" w:type="dxa"/>
          <w:left w:w="0" w:type="dxa"/>
          <w:bottom w:w="0" w:type="dxa"/>
          <w:right w:w="0" w:type="dxa"/>
        </w:tblCellMar>
      </w:tblPr>
      <w:tr>
        <w:trPr>
          <w:trHeight w:val="186"/>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4"/>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24"/>
        </w:trPr>
        <w:tc>
          <w:tcPr>
            <w:tcW w:w="4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30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All-In Swapped</w:t>
            </w:r>
          </w:p>
        </w:tc>
        <w:tc>
          <w:tcPr>
            <w:tcW w:w="280" w:type="dxa"/>
            <w:vAlign w:val="bottom"/>
          </w:tcPr>
          <w:p>
            <w:pPr>
              <w:spacing w:after="0"/>
              <w:rPr>
                <w:sz w:val="11"/>
                <w:szCs w:val="11"/>
                <w:color w:val="auto"/>
              </w:rPr>
            </w:pPr>
          </w:p>
        </w:tc>
        <w:tc>
          <w:tcPr>
            <w:tcW w:w="104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4"/>
                <w:szCs w:val="14"/>
                <w:b w:val="1"/>
                <w:bCs w:val="1"/>
                <w:color w:val="auto"/>
              </w:rPr>
              <w:t>Swap/Cap</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 w:type="dxa"/>
            <w:vAlign w:val="bottom"/>
          </w:tcPr>
          <w:p>
            <w:pPr>
              <w:spacing w:after="0"/>
              <w:rPr>
                <w:sz w:val="11"/>
                <w:szCs w:val="11"/>
                <w:color w:val="auto"/>
              </w:rPr>
            </w:pPr>
          </w:p>
        </w:tc>
        <w:tc>
          <w:tcPr>
            <w:tcW w:w="84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6"/>
        </w:trPr>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80" w:type="dxa"/>
            <w:vAlign w:val="bottom"/>
          </w:tcPr>
          <w:p>
            <w:pPr>
              <w:spacing w:after="0"/>
              <w:rPr>
                <w:sz w:val="16"/>
                <w:szCs w:val="16"/>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40" w:type="dxa"/>
            <w:vAlign w:val="bottom"/>
          </w:tcPr>
          <w:p>
            <w:pPr>
              <w:spacing w:after="0"/>
              <w:rPr>
                <w:sz w:val="16"/>
                <w:szCs w:val="16"/>
                <w:color w:val="auto"/>
              </w:rPr>
            </w:pPr>
          </w:p>
        </w:tc>
        <w:tc>
          <w:tcPr>
            <w:tcW w:w="84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16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4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555 California Street mortgage loan</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840,000</w:t>
            </w: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5.56%</w:t>
            </w: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9"/>
                <w:szCs w:val="9"/>
                <w:b w:val="1"/>
                <w:bCs w:val="1"/>
                <w:color w:val="auto"/>
                <w:w w:val="94"/>
              </w:rPr>
              <w:t>(2)</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w:t>
            </w:r>
          </w:p>
        </w:tc>
        <w:tc>
          <w:tcPr>
            <w:tcW w:w="0" w:type="dxa"/>
            <w:vAlign w:val="bottom"/>
          </w:tcPr>
          <w:p>
            <w:pPr>
              <w:spacing w:after="0"/>
              <w:rPr>
                <w:sz w:val="1"/>
                <w:szCs w:val="1"/>
                <w:color w:val="auto"/>
              </w:rPr>
            </w:pPr>
          </w:p>
        </w:tc>
      </w:tr>
      <w:tr>
        <w:trPr>
          <w:trHeight w:val="192"/>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Unsecured term loan</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3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4.12%</w:t>
            </w:r>
          </w:p>
        </w:tc>
        <w:tc>
          <w:tcPr>
            <w:tcW w:w="2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Unsecured revolving credit facility</w:t>
            </w:r>
            <w:r>
              <w:rPr>
                <w:rFonts w:ascii="Times New Roman" w:cs="Times New Roman" w:eastAsia="Times New Roman" w:hAnsi="Times New Roman"/>
                <w:sz w:val="9"/>
                <w:szCs w:val="9"/>
                <w:b w:val="1"/>
                <w:bCs w:val="1"/>
                <w:color w:val="auto"/>
              </w:rPr>
              <w:t>(4)</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3.74%</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08/27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One Park Avenue mortgage loan</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300" w:type="dxa"/>
            <w:vAlign w:val="bottom"/>
          </w:tcPr>
          <w:p>
            <w:pPr>
              <w:jc w:val="right"/>
              <w:ind w:right="134"/>
              <w:spacing w:after="0"/>
              <w:rPr>
                <w:sz w:val="20"/>
                <w:szCs w:val="20"/>
                <w:color w:val="auto"/>
              </w:rPr>
            </w:pPr>
            <w:r>
              <w:rPr>
                <w:rFonts w:ascii="Times New Roman" w:cs="Times New Roman" w:eastAsia="Times New Roman" w:hAnsi="Times New Roman"/>
                <w:sz w:val="9"/>
                <w:szCs w:val="9"/>
                <w:b w:val="1"/>
                <w:bCs w:val="1"/>
                <w:color w:val="auto"/>
                <w:w w:val="94"/>
              </w:rPr>
              <w:t>(5)</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4.52%</w:t>
            </w:r>
          </w:p>
        </w:tc>
        <w:tc>
          <w:tcPr>
            <w:tcW w:w="2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100 West 33rd Street mortgage loan</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480,000</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5.26%</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06/27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0" w:type="dxa"/>
            <w:vAlign w:val="bottom"/>
          </w:tcPr>
          <w:p>
            <w:pPr>
              <w:spacing w:after="0"/>
              <w:rPr>
                <w:sz w:val="1"/>
                <w:szCs w:val="1"/>
                <w:color w:val="auto"/>
              </w:rPr>
            </w:pPr>
          </w:p>
        </w:tc>
      </w:tr>
      <w:tr>
        <w:trPr>
          <w:trHeight w:val="191"/>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1290 Avenue of the Americas mortgage loan</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300" w:type="dxa"/>
            <w:vAlign w:val="bottom"/>
          </w:tcPr>
          <w:p>
            <w:pPr>
              <w:jc w:val="right"/>
              <w:ind w:right="134"/>
              <w:spacing w:after="0"/>
              <w:rPr>
                <w:sz w:val="20"/>
                <w:szCs w:val="20"/>
                <w:color w:val="auto"/>
              </w:rPr>
            </w:pPr>
            <w:r>
              <w:rPr>
                <w:rFonts w:ascii="Times New Roman" w:cs="Times New Roman" w:eastAsia="Times New Roman" w:hAnsi="Times New Roman"/>
                <w:sz w:val="9"/>
                <w:szCs w:val="9"/>
                <w:b w:val="1"/>
                <w:bCs w:val="1"/>
                <w:color w:val="auto"/>
                <w:w w:val="94"/>
              </w:rPr>
              <w:t>(6)</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4.58%</w:t>
            </w: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9"/>
                <w:szCs w:val="9"/>
                <w:b w:val="1"/>
                <w:bCs w:val="1"/>
                <w:color w:val="auto"/>
                <w:w w:val="94"/>
              </w:rPr>
              <w:t>(7)</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435 Seventh Avenue mortgage loan</w:t>
            </w:r>
            <w:r>
              <w:rPr>
                <w:rFonts w:ascii="Times New Roman" w:cs="Times New Roman" w:eastAsia="Times New Roman" w:hAnsi="Times New Roman"/>
                <w:sz w:val="9"/>
                <w:szCs w:val="9"/>
                <w:b w:val="1"/>
                <w:bCs w:val="1"/>
                <w:color w:val="auto"/>
              </w:rPr>
              <w:t>(8)</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19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caps: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Unsecured term loan (effective 10/26)</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Unsecured revolving credit facility (effective 10/26)</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343,000</w:t>
            </w:r>
          </w:p>
        </w:tc>
        <w:tc>
          <w:tcPr>
            <w:tcW w:w="3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2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Various mortgage loans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44,051</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13,985</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3,093</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w:t>
      </w:r>
    </w:p>
    <w:p>
      <w:pPr>
        <w:spacing w:after="0" w:line="12" w:lineRule="exact"/>
        <w:rPr>
          <w:sz w:val="20"/>
          <w:szCs w:val="20"/>
          <w:color w:val="auto"/>
        </w:rPr>
      </w:pPr>
    </w:p>
    <w:p>
      <w:pPr>
        <w:ind w:left="320" w:hanging="314"/>
        <w:spacing w:after="0"/>
        <w:tabs>
          <w:tab w:leader="none" w:pos="320"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our 70.0% share of the $1.2 billion mortgage loan.</w:t>
      </w:r>
    </w:p>
    <w:p>
      <w:pPr>
        <w:spacing w:after="0" w:line="21"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variable rate spread will increase by 25 basis points in May 2027.</w:t>
      </w:r>
    </w:p>
    <w:p>
      <w:pPr>
        <w:spacing w:after="0" w:line="11" w:lineRule="exact"/>
        <w:rPr>
          <w:rFonts w:ascii="Times New Roman" w:cs="Times New Roman" w:eastAsia="Times New Roman" w:hAnsi="Times New Roman"/>
          <w:sz w:val="14"/>
          <w:szCs w:val="14"/>
          <w:b w:val="1"/>
          <w:bCs w:val="1"/>
          <w:color w:val="auto"/>
        </w:rPr>
      </w:pPr>
    </w:p>
    <w:p>
      <w:pPr>
        <w:jc w:val="both"/>
        <w:ind w:left="320" w:hanging="314"/>
        <w:spacing w:after="0" w:line="255" w:lineRule="auto"/>
        <w:tabs>
          <w:tab w:leader="none" w:pos="312"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Our $850,000 unsecured term loan, which matures in February 2031, is hedged by interest rate swaps and an interest rate cap. In October 2026, $500,000 of the swaps expired, and that amount, together with $100,000 previously floating, became subject to a 4.75% SOFR strike rate cap entered into on September 29, 2026, which expires in October 2027. The term loan’s swapped, capped and floating balances are summarized below.</w:t>
      </w:r>
    </w:p>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Swapped Balance</w:t>
            </w:r>
          </w:p>
        </w:tc>
        <w:tc>
          <w:tcPr>
            <w:tcW w:w="19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All-In Swapped Rate</w:t>
            </w:r>
          </w:p>
        </w:tc>
        <w:tc>
          <w:tcPr>
            <w:tcW w:w="260" w:type="dxa"/>
            <w:vAlign w:val="bottom"/>
          </w:tcPr>
          <w:p>
            <w:pPr>
              <w:spacing w:after="0"/>
              <w:rPr>
                <w:sz w:val="13"/>
                <w:szCs w:val="13"/>
                <w:color w:val="auto"/>
              </w:rPr>
            </w:pPr>
          </w:p>
        </w:tc>
        <w:tc>
          <w:tcPr>
            <w:tcW w:w="1840" w:type="dxa"/>
            <w:vAlign w:val="bottom"/>
            <w:gridSpan w:val="3"/>
            <w:vMerge w:val="restart"/>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Capped Balance</w:t>
            </w:r>
          </w:p>
        </w:tc>
        <w:tc>
          <w:tcPr>
            <w:tcW w:w="17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Floating Balance</w:t>
            </w:r>
          </w:p>
        </w:tc>
        <w:tc>
          <w:tcPr>
            <w:tcW w:w="0" w:type="dxa"/>
            <w:vAlign w:val="bottom"/>
          </w:tcPr>
          <w:p>
            <w:pPr>
              <w:spacing w:after="0"/>
              <w:rPr>
                <w:sz w:val="1"/>
                <w:szCs w:val="1"/>
                <w:color w:val="auto"/>
              </w:rPr>
            </w:pPr>
          </w:p>
        </w:tc>
      </w:tr>
      <w:tr>
        <w:trPr>
          <w:trHeight w:val="191"/>
        </w:trPr>
        <w:tc>
          <w:tcPr>
            <w:tcW w:w="1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9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3"/>
            <w:vMerge w:val="continue"/>
          </w:tcPr>
          <w:p>
            <w:pPr>
              <w:spacing w:after="0"/>
              <w:rPr>
                <w:sz w:val="16"/>
                <w:szCs w:val="16"/>
                <w:color w:val="auto"/>
              </w:rPr>
            </w:pPr>
          </w:p>
        </w:tc>
        <w:tc>
          <w:tcPr>
            <w:tcW w:w="172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(bears interest at S+115)</w:t>
            </w:r>
          </w:p>
        </w:tc>
        <w:tc>
          <w:tcPr>
            <w:tcW w:w="0" w:type="dxa"/>
            <w:vAlign w:val="bottom"/>
          </w:tcPr>
          <w:p>
            <w:pPr>
              <w:spacing w:after="0"/>
              <w:rPr>
                <w:sz w:val="1"/>
                <w:szCs w:val="1"/>
                <w:color w:val="auto"/>
              </w:rPr>
            </w:pPr>
          </w:p>
        </w:tc>
      </w:tr>
      <w:tr>
        <w:trPr>
          <w:trHeight w:val="198"/>
        </w:trPr>
        <w:tc>
          <w:tcPr>
            <w:tcW w:w="19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Through 10/26</w:t>
            </w: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8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91"/>
        </w:trPr>
        <w:tc>
          <w:tcPr>
            <w:tcW w:w="1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10/26 through 07/27</w:t>
            </w:r>
          </w:p>
        </w:tc>
        <w:tc>
          <w:tcPr>
            <w:tcW w:w="24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8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07/27 through 08/27</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shd w:val="clear" w:color="auto" w:fill="CCEEFF"/>
          </w:tcPr>
          <w:p>
            <w:pPr>
              <w:spacing w:after="0"/>
              <w:rPr>
                <w:sz w:val="17"/>
                <w:szCs w:val="17"/>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3.89%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0" w:type="dxa"/>
            <w:vAlign w:val="bottom"/>
          </w:tcPr>
          <w:p>
            <w:pPr>
              <w:spacing w:after="0"/>
              <w:rPr>
                <w:sz w:val="1"/>
                <w:szCs w:val="1"/>
                <w:color w:val="auto"/>
              </w:rPr>
            </w:pPr>
          </w:p>
        </w:tc>
      </w:tr>
      <w:tr>
        <w:trPr>
          <w:trHeight w:val="184"/>
        </w:trPr>
        <w:tc>
          <w:tcPr>
            <w:tcW w:w="1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08/27 through 10/27</w:t>
            </w:r>
          </w:p>
        </w:tc>
        <w:tc>
          <w:tcPr>
            <w:tcW w:w="240" w:type="dxa"/>
            <w:vAlign w:val="bottom"/>
          </w:tcPr>
          <w:p>
            <w:pPr>
              <w:spacing w:after="0"/>
              <w:rPr>
                <w:sz w:val="15"/>
                <w:szCs w:val="15"/>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320" w:hanging="314"/>
        <w:spacing w:after="0" w:line="255" w:lineRule="auto"/>
        <w:tabs>
          <w:tab w:leader="none" w:pos="312"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Of the $918,000 outstanding under our unsecured revolving credit facility, $575,000 is hedged by the interest rate swap shown above. On September 29, 2026, we entered into a 4.75% SOFR strike rate cap on the remaining $343,000, effective October 2026 and expiring October 2027.</w:t>
      </w:r>
    </w:p>
    <w:p>
      <w:pPr>
        <w:ind w:left="320" w:hanging="314"/>
        <w:spacing w:after="0" w:line="256" w:lineRule="auto"/>
        <w:tabs>
          <w:tab w:leader="none" w:pos="312"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remaining $25,000 mortgage loan balance bears interest at a floating rate of SOFR plus 1.78% (5.60% as of September 30, 2026) and has a 5.20% SOFR strike rate cap in place until February 2028.</w:t>
      </w:r>
    </w:p>
    <w:p>
      <w:pPr>
        <w:spacing w:after="0" w:line="1" w:lineRule="exact"/>
        <w:rPr>
          <w:rFonts w:ascii="Times New Roman" w:cs="Times New Roman" w:eastAsia="Times New Roman" w:hAnsi="Times New Roman"/>
          <w:sz w:val="14"/>
          <w:szCs w:val="14"/>
          <w:b w:val="1"/>
          <w:bCs w:val="1"/>
          <w:color w:val="auto"/>
        </w:rPr>
      </w:pPr>
    </w:p>
    <w:p>
      <w:pPr>
        <w:ind w:left="320" w:hanging="314"/>
        <w:spacing w:after="0" w:line="250" w:lineRule="auto"/>
        <w:tabs>
          <w:tab w:leader="none" w:pos="312"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remaining $750,000 mortgage loan balance bears interest at a floating rate of SOFR plus 1.62% (5.44% as of September 30, 2026) and has a 4.00% SOFR strike rate cap in place until November 2026.</w:t>
      </w:r>
    </w:p>
    <w:p>
      <w:pPr>
        <w:ind w:left="320" w:hanging="314"/>
        <w:spacing w:after="0"/>
        <w:tabs>
          <w:tab w:leader="none" w:pos="320"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variable rate spread will increase by 25 basis points in November 2026.</w:t>
      </w:r>
    </w:p>
    <w:p>
      <w:pPr>
        <w:spacing w:after="0" w:line="6"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April 5, 2026, the $75,000 notional interest rate swap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34" w:name="page35"/>
    <w:bookmarkEnd w:id="34"/>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Fair Value Measurements - continued</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Fair Value Measurements on a Nonrecurring Basis</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were no assets measured at fair value on a nonrecurring basis on our consolidated balance sheets as of September 30, 2026 and December 31, 2025.</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Financial Assets and Liabilities not Measured at Fair Value</w:t>
      </w:r>
    </w:p>
    <w:p>
      <w:pPr>
        <w:spacing w:after="0" w:line="6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Financial assets and liabilities that are not measured at fair value on our consolidated balance sheets include cash equivalents (primarily money market funds, which invest in obligations of the United States government) and our secured and unsecured debt. The fair values of these instruments are estimated using discounted cash flow analyses provided by a third-party specialist. For floating rate debt, we use forward rates derived from observable market yield curves to project the expected cash flows we would be required to make under the instrument. The fair value of cash equivalents and borrowings under our unsecured revolving credit facilities and unsecured term loan are classified as Level 1. The fair value of our secured debt and unsecured debt are classified as Level 2. The table below summarizes the carrying amounts and fair value of these financial instruments.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60" w:type="dxa"/>
            <w:vAlign w:val="bottom"/>
          </w:tcPr>
          <w:p>
            <w:pPr>
              <w:spacing w:after="0"/>
              <w:rPr>
                <w:sz w:val="16"/>
                <w:szCs w:val="16"/>
                <w:color w:val="auto"/>
              </w:rPr>
            </w:pPr>
          </w:p>
        </w:tc>
        <w:tc>
          <w:tcPr>
            <w:tcW w:w="30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260" w:type="dxa"/>
            <w:vAlign w:val="bottom"/>
          </w:tcPr>
          <w:p>
            <w:pPr>
              <w:spacing w:after="0"/>
              <w:rPr>
                <w:sz w:val="16"/>
                <w:szCs w:val="16"/>
                <w:color w:val="auto"/>
              </w:rPr>
            </w:pPr>
          </w:p>
        </w:tc>
        <w:tc>
          <w:tcPr>
            <w:tcW w:w="2940" w:type="dxa"/>
            <w:vAlign w:val="bottom"/>
            <w:gridSpan w:val="4"/>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24"/>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69"/>
              <w:spacing w:after="0" w:line="12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229"/>
              <w:spacing w:after="0" w:line="128"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389"/>
              <w:spacing w:after="0" w:line="12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529"/>
              <w:spacing w:after="0" w:line="128"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1"/>
        </w:trPr>
        <w:tc>
          <w:tcPr>
            <w:tcW w:w="4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6"/>
                <w:szCs w:val="16"/>
                <w:color w:val="auto"/>
              </w:rPr>
            </w:pPr>
          </w:p>
        </w:tc>
        <w:tc>
          <w:tcPr>
            <w:tcW w:w="12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equivalents</w:t>
            </w: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410,668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508,812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509,000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Mortgages payable</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4,869,543</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4,662,000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4,944,037</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4,754,000</w:t>
            </w:r>
          </w:p>
        </w:tc>
        <w:tc>
          <w:tcPr>
            <w:tcW w:w="0" w:type="dxa"/>
            <w:vAlign w:val="bottom"/>
          </w:tcPr>
          <w:p>
            <w:pPr>
              <w:spacing w:after="0"/>
              <w:rPr>
                <w:sz w:val="1"/>
                <w:szCs w:val="1"/>
                <w:color w:val="auto"/>
              </w:rPr>
            </w:pPr>
          </w:p>
        </w:tc>
      </w:tr>
      <w:tr>
        <w:trPr>
          <w:trHeight w:val="191"/>
        </w:trPr>
        <w:tc>
          <w:tcPr>
            <w:tcW w:w="4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Senior unsecured notes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850,000</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714,000</w:t>
            </w:r>
          </w:p>
        </w:tc>
        <w:tc>
          <w:tcPr>
            <w:tcW w:w="0" w:type="dxa"/>
            <w:vAlign w:val="bottom"/>
          </w:tcPr>
          <w:p>
            <w:pPr>
              <w:spacing w:after="0"/>
              <w:rPr>
                <w:sz w:val="1"/>
                <w:szCs w:val="1"/>
                <w:color w:val="auto"/>
              </w:rPr>
            </w:pPr>
          </w:p>
        </w:tc>
      </w:tr>
      <w:tr>
        <w:trPr>
          <w:trHeight w:val="206"/>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Unsecured term loan</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850,000</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850,000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0" w:type="dxa"/>
            <w:vAlign w:val="bottom"/>
          </w:tcPr>
          <w:p>
            <w:pPr>
              <w:spacing w:after="0"/>
              <w:rPr>
                <w:sz w:val="1"/>
                <w:szCs w:val="1"/>
                <w:color w:val="auto"/>
              </w:rPr>
            </w:pPr>
          </w:p>
        </w:tc>
      </w:tr>
      <w:tr>
        <w:trPr>
          <w:trHeight w:val="192"/>
        </w:trPr>
        <w:tc>
          <w:tcPr>
            <w:tcW w:w="4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Unsecured revolving credit facilities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918,000</w:t>
            </w:r>
          </w:p>
        </w:tc>
        <w:tc>
          <w:tcPr>
            <w:tcW w:w="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918,000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720,420</w:t>
            </w:r>
          </w:p>
        </w:tc>
        <w:tc>
          <w:tcPr>
            <w:tcW w:w="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720,000</w:t>
            </w:r>
          </w:p>
        </w:tc>
        <w:tc>
          <w:tcPr>
            <w:tcW w:w="0" w:type="dxa"/>
            <w:vAlign w:val="bottom"/>
          </w:tcPr>
          <w:p>
            <w:pPr>
              <w:spacing w:after="0"/>
              <w:rPr>
                <w:sz w:val="1"/>
                <w:szCs w:val="1"/>
                <w:color w:val="auto"/>
              </w:rPr>
            </w:pPr>
          </w:p>
        </w:tc>
      </w:tr>
      <w:tr>
        <w:trPr>
          <w:trHeight w:val="224"/>
        </w:trPr>
        <w:tc>
          <w:tcPr>
            <w:tcW w:w="4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7,487,543</w:t>
            </w: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9"/>
                <w:szCs w:val="9"/>
                <w:b w:val="1"/>
                <w:bCs w:val="1"/>
                <w:color w:val="auto"/>
              </w:rPr>
              <w:t>(1)</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7,211,000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7,214,457</w:t>
            </w:r>
          </w:p>
        </w:tc>
        <w:tc>
          <w:tcPr>
            <w:tcW w:w="2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6,988,000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w:t>
      </w:r>
    </w:p>
    <w:p>
      <w:pPr>
        <w:spacing w:after="0" w:line="12" w:lineRule="exact"/>
        <w:rPr>
          <w:sz w:val="20"/>
          <w:szCs w:val="20"/>
          <w:color w:val="auto"/>
        </w:rPr>
      </w:pPr>
    </w:p>
    <w:p>
      <w:pPr>
        <w:ind w:left="320" w:hanging="314"/>
        <w:spacing w:after="0"/>
        <w:tabs>
          <w:tab w:leader="none" w:pos="320" w:val="left"/>
        </w:tabs>
        <w:numPr>
          <w:ilvl w:val="0"/>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Excludes $39,231 and $28,829 of deferred financing costs, net and other as of September 30, 2026 and December 31, 2025, respectively.</w:t>
      </w:r>
    </w:p>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Interest and Other Investment Income, Net</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details of interest and other investment income, net: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40" w:type="dxa"/>
            <w:vAlign w:val="bottom"/>
          </w:tcPr>
          <w:p>
            <w:pPr>
              <w:spacing w:after="0"/>
              <w:rPr>
                <w:sz w:val="16"/>
                <w:szCs w:val="16"/>
                <w:color w:val="auto"/>
              </w:rPr>
            </w:pPr>
          </w:p>
        </w:tc>
        <w:tc>
          <w:tcPr>
            <w:tcW w:w="29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40" w:type="dxa"/>
            <w:vAlign w:val="bottom"/>
          </w:tcPr>
          <w:p>
            <w:pPr>
              <w:spacing w:after="0"/>
              <w:rPr>
                <w:sz w:val="16"/>
                <w:szCs w:val="16"/>
                <w:color w:val="auto"/>
              </w:rPr>
            </w:pPr>
          </w:p>
        </w:tc>
        <w:tc>
          <w:tcPr>
            <w:tcW w:w="2860" w:type="dxa"/>
            <w:vAlign w:val="bottom"/>
            <w:gridSpan w:val="4"/>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4"/>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5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on cash and cash equivalents and restricted 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4,782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27,729</w:t>
            </w: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on loans receivable</w:t>
            </w:r>
          </w:p>
        </w:tc>
        <w:tc>
          <w:tcPr>
            <w:tcW w:w="14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6,681</w:t>
            </w:r>
          </w:p>
        </w:tc>
      </w:tr>
      <w:tr>
        <w:trPr>
          <w:trHeight w:val="20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real estate fund investments</w:t>
            </w: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5,601</w:t>
            </w:r>
          </w:p>
        </w:tc>
      </w:tr>
      <w:tr>
        <w:trPr>
          <w:trHeight w:val="192"/>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w:t>
            </w:r>
          </w:p>
        </w:tc>
      </w:tr>
      <w:tr>
        <w:trPr>
          <w:trHeight w:val="217"/>
        </w:trPr>
        <w:tc>
          <w:tcPr>
            <w:tcW w:w="5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5,107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41,730</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Interest and Debt Expense</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details of interest and debt expense: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20" w:type="dxa"/>
            <w:vAlign w:val="bottom"/>
          </w:tcPr>
          <w:p>
            <w:pPr>
              <w:spacing w:after="0"/>
              <w:rPr>
                <w:sz w:val="16"/>
                <w:szCs w:val="16"/>
                <w:color w:val="auto"/>
              </w:rPr>
            </w:pPr>
          </w:p>
        </w:tc>
        <w:tc>
          <w:tcPr>
            <w:tcW w:w="29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60" w:type="dxa"/>
            <w:vAlign w:val="bottom"/>
          </w:tcPr>
          <w:p>
            <w:pPr>
              <w:spacing w:after="0"/>
              <w:rPr>
                <w:sz w:val="16"/>
                <w:szCs w:val="16"/>
                <w:color w:val="auto"/>
              </w:rPr>
            </w:pPr>
          </w:p>
        </w:tc>
        <w:tc>
          <w:tcPr>
            <w:tcW w:w="2860" w:type="dxa"/>
            <w:vAlign w:val="bottom"/>
            <w:gridSpan w:val="4"/>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4"/>
        </w:trPr>
        <w:tc>
          <w:tcPr>
            <w:tcW w:w="5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5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95,134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284,290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262,708</w:t>
            </w:r>
          </w:p>
        </w:tc>
      </w:tr>
      <w:tr>
        <w:trPr>
          <w:trHeight w:val="19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interest and debt expense</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(29,423)</w:t>
            </w:r>
          </w:p>
        </w:tc>
      </w:tr>
      <w:tr>
        <w:trPr>
          <w:trHeight w:val="20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14,532</w:t>
            </w:r>
          </w:p>
        </w:tc>
      </w:tr>
      <w:tr>
        <w:trPr>
          <w:trHeight w:val="192"/>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Amortization of interest rate cap premiums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20,387</w:t>
            </w:r>
          </w:p>
        </w:tc>
      </w:tr>
      <w:tr>
        <w:trPr>
          <w:trHeight w:val="217"/>
        </w:trPr>
        <w:tc>
          <w:tcPr>
            <w:tcW w:w="5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88,714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84,459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267,502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268,204</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35" w:name="page36"/>
    <w:bookmarkEnd w:id="35"/>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right="8340" w:hanging="314"/>
        <w:spacing w:after="0" w:line="308" w:lineRule="auto"/>
        <w:tabs>
          <w:tab w:leader="none" w:pos="399"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Insurance</w:t>
      </w:r>
    </w:p>
    <w:p>
      <w:pPr>
        <w:spacing w:after="0" w:line="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For our properties, we maintain general liability insurance with limits of $300,000,000 per occurrence and per property, of which $275,000,000 includes communicable disease coverage and we maintain all risk property and rental value insurance with limits of $2.5 billion per occurrence, with sub-limits for certain perils such as flood and earthquake, excluding communicable disease coverage. Our California properties have earthquake insurance with coverage of $350,000,000 per occurrence and in the aggregate, subject to a deductible in the amount of 5% of the value of the affected property. We maintain coverage for certified terrorism acts with limits of $6.0 billion per occurrence and in the aggregate (as listed below), $1.2 billion for non-certified acts of terrorism, and $5.0 billion per occurrence and in the aggregate for terrorism involving nuclear, biological, chemical and radiological (“NBCR”) terrorism events, as defined by the Terrorism Risk Insurance Act of 2002, as amended to date and which has been extended through December 2027.</w:t>
      </w:r>
    </w:p>
    <w:p>
      <w:pPr>
        <w:spacing w:after="0" w:line="2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Penn Plaza Insurance Company, LLC (“PPIC”), our wholly owned consolidated subsidiary, acts as a re-insurer with respect to a portion of all risk property and rental value insurance and a portion of our earthquake insurance coverage, and as a direct insurer for coverage for acts of terrorism including NBCR acts. Coverage for acts of terrorism (excluding NBCR acts) is fully reinsured by third-party insurance companies and the Federal government with no exposure to PPIC. For NBCR acts, PPIC is responsible for a deductible of $2,360,428 and 20% of the balance of a covered loss and the Federal government is responsible for the remaining portion of a covered loss. We are ultimately responsible for any loss incurred by PPIC.</w:t>
      </w:r>
    </w:p>
    <w:p>
      <w:pPr>
        <w:spacing w:after="0" w:line="2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Certain condominiums in which we own an interest (including the Farley Condominiums) maintain insurance policies with different per occurrence and aggregate limits than our policies described above.</w:t>
      </w:r>
    </w:p>
    <w:p>
      <w:pPr>
        <w:spacing w:after="0" w:line="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continue to monitor the state of the insurance market and the scope and costs of coverage for acts of terrorism and other events. However, we cannot anticipate what coverage will be available on commercially reasonable terms in the future. We are responsible for uninsured losses and for deductibles and losses in excess of our insurance coverage, which could be material</w:t>
      </w:r>
      <w:r>
        <w:rPr>
          <w:rFonts w:ascii="Times New Roman" w:cs="Times New Roman" w:eastAsia="Times New Roman" w:hAnsi="Times New Roman"/>
          <w:sz w:val="18"/>
          <w:szCs w:val="18"/>
          <w:i w:val="1"/>
          <w:iCs w:val="1"/>
          <w:color w:val="auto"/>
        </w:rPr>
        <w:t>.</w:t>
      </w:r>
    </w:p>
    <w:p>
      <w:pPr>
        <w:spacing w:after="0" w:line="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debt instruments, consisting of mortgage loans secured by our properties, senior unsecured notes and revolving credit agreements, contain customary covenants requiring us to maintain insurance. Although we believe that we have adequate insurance coverage for purposes of these agreements, we may not be able to obtain an equivalent amount of coverage at reasonable costs in the future. Further, if lenders insist on greater coverage than we are able to obtain, it could adversely affect our ability to finance or refinance our properties and expand our portfolio.</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6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from time to time involved in legal actions arising in the ordinary course of business. In our opinion, after consultation with legal counsel, the outcome of such matters is not currently expected to have a material adverse effect on our financial position, results of operations or cash flows.</w:t>
      </w:r>
    </w:p>
    <w:p>
      <w:pPr>
        <w:spacing w:after="0" w:line="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Each of our properties has been subjected to varying degrees of environmental assessment at various times. The environmental assessments did not reveal any material environmental contamination. However, there can be no assurance that the identification of new areas of contamination, changes in the extent or known scope of contamination, the discovery of additional sites, or changes in cleanup requirements would not result in significant costs to us.</w:t>
      </w:r>
    </w:p>
    <w:p>
      <w:pPr>
        <w:spacing w:after="0" w:line="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PENN 1 ground lease is subject to fair market value resets at each of the three 25-year renewal periods. The first renewal period commenced June 2023 and, together with our second option exercise in January 2022, extends the lease term through June 2073. On April 22, 2025, an arbitration panel (the “Panel”) appointed to determine the ground rent payable for the 25-year period beginning June 17, 2023 determined that the annual rent payable will be $15,000,000 or $20,220,000, depending on the outcome of litigation described in the following paragraph. On July 21, 2025, the ground lessor filed a motion in New York County Supreme Court to vacate the Panel’s ground rent determination. On October 31, 2025, the court granted the ground lessor’s motion. We believe the decision is without merit and are appealing the court’s decision.</w:t>
      </w:r>
    </w:p>
    <w:p>
      <w:pPr>
        <w:spacing w:after="0" w:line="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Further, litigation is currently pending between the parties in New York County Supreme Court regarding the existence of a sublease potentially affecting the value of the land parcel. The court denied our motion to dismiss that action and, in January 2026, the appellate court affirmed that decision. That sublease litigation is now continuing in front of the lower court. Under the Panel’s decision (assuming the aforementioned vacatur decision that we are appealing is reversed), if the fee owner prevails in a final judgment in that litigation, the annual rent for the 25-year term will be $20,220,000, retroactive to June 17, 2023. We are paying based on the $15,000,000 annual rent.</w:t>
      </w:r>
    </w:p>
    <w:p>
      <w:pPr>
        <w:spacing w:after="0" w:line="2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may, from time to time, enter into guarantees including, but not limited to, payment guarantees to lenders of unconsolidated joint ventures for tax purposes, completion guarantees for development and redevelopment projects, and guarantees to fund leasing costs. These agreements terminate either upon the satisfaction of specified obligations or repayment of the underlying loans. As of September 30, 2026, the aggregate dollar amount of these guarantees is approximately $193,358,000, including partial payment guarantees on 435 Seventh Avenue and 150 West 34th Street. Other than these loans, our mortgage loans are non-recourse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36" w:name="page37"/>
    <w:bookmarkEnd w:id="36"/>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 - continued</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Commitments and Contingencies - continued</w:t>
      </w:r>
    </w:p>
    <w:p>
      <w:pPr>
        <w:spacing w:after="0" w:line="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of September 30, 2026, $23,720,000 of letters of credit were outstanding under our unsecured revolving credit facilities. Our unsecured revolving credit facilities contain financial covenants that require us to maintain minimum interest coverage and maximum debt to market capitalization ratios and provide for higher interest rates in the event of a decline in the credit rating assigned to our senior unsecured notes. Our unsecured revolving credit facilities also contain customary conditions precedent to borrowing, including representations and warranties, and also contain customary events of default that could give rise to accelerated repayment, including such items as failure to pay interest or principal.</w:t>
      </w:r>
    </w:p>
    <w:p>
      <w:pPr>
        <w:spacing w:after="0" w:line="2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95% consolidated joint venture (5% is owned by Related Companies ("Related")) developed and owns the Farley Building. In connection with the development of the property, the joint venture admitted a historic tax credit investor partner. Under the terms of the historic tax credit arrangement, the joint venture is required to comply with various laws, regulations, and contractual provisions. Non-compliance with applicable requirements could result in projected tax benefits not being realized and, therefore, may require a refund or reduction of the Tax Credit Investor’s capital contributions. As of September 30, 2026, the Tax Credit Investor has made $209,661,000 in capital contributions. Vornado and Related have guaranteed certain of the joint venture’s obligations to the Tax Credit Investor.</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September 30, 2026, we had construction commitments aggregating approximately $11,931,000.</w:t>
      </w:r>
    </w:p>
    <w:p>
      <w:pPr>
        <w:spacing w:after="0" w:line="10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60"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Company’s operating segments are based on our method of internal reporting which classifies our operations by geographic area. We aggregate these operating segments into two reportable segments, New York and Other, which are based on similar economic characteristics.</w:t>
      </w:r>
    </w:p>
    <w:p>
      <w:pPr>
        <w:spacing w:after="0" w:line="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operating income ("NOI") at share represents total revenues less operating expenses including our share of partially owned entities. The Company's CODM is its Chief Executive Officer, who considers NOI at share to be the measure of segment profit and loss for making decisions on how to allocate resources and assessing the unlevered performance of our segments as it relates to the return on assets as opposed to the levered return on equity.</w:t>
      </w:r>
    </w:p>
    <w:p>
      <w:pPr>
        <w:spacing w:after="0" w:line="17"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We have recast certain prior period disclosures to reflect changes to our reportable segments. See Note 2 -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xml:space="preserve"> for additional information.</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NOI at share by segment for the three and nine months ended September 30, 2026 and 2025.</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040" w:type="dxa"/>
            <w:vAlign w:val="bottom"/>
          </w:tcPr>
          <w:p>
            <w:pPr>
              <w:spacing w:after="0"/>
              <w:rPr>
                <w:sz w:val="16"/>
                <w:szCs w:val="16"/>
                <w:color w:val="auto"/>
              </w:rPr>
            </w:pPr>
          </w:p>
        </w:tc>
        <w:tc>
          <w:tcPr>
            <w:tcW w:w="31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2026</w:t>
            </w:r>
          </w:p>
        </w:tc>
        <w:tc>
          <w:tcPr>
            <w:tcW w:w="1060" w:type="dxa"/>
            <w:vAlign w:val="bottom"/>
          </w:tcPr>
          <w:p>
            <w:pPr>
              <w:spacing w:after="0"/>
              <w:rPr>
                <w:sz w:val="16"/>
                <w:szCs w:val="16"/>
                <w:color w:val="auto"/>
              </w:rPr>
            </w:pPr>
          </w:p>
        </w:tc>
      </w:tr>
      <w:tr>
        <w:trPr>
          <w:trHeight w:val="24"/>
        </w:trPr>
        <w:tc>
          <w:tcPr>
            <w:tcW w:w="6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60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New York</w:t>
            </w:r>
          </w:p>
        </w:tc>
        <w:tc>
          <w:tcPr>
            <w:tcW w:w="600" w:type="dxa"/>
            <w:vAlign w:val="bottom"/>
          </w:tcPr>
          <w:p>
            <w:pPr>
              <w:spacing w:after="0"/>
              <w:rPr>
                <w:sz w:val="16"/>
                <w:szCs w:val="16"/>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8"/>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040" w:type="dxa"/>
            <w:vAlign w:val="bottom"/>
            <w:tcBorders>
              <w:top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467,657</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380,212</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87,445</w:t>
            </w:r>
          </w:p>
        </w:tc>
      </w:tr>
      <w:tr>
        <w:trPr>
          <w:trHeight w:val="199"/>
        </w:trPr>
        <w:tc>
          <w:tcPr>
            <w:tcW w:w="6040" w:type="dxa"/>
            <w:vAlign w:val="bottom"/>
          </w:tcPr>
          <w:p>
            <w:pPr>
              <w:ind w:left="20"/>
              <w:spacing w:after="0" w:line="199" w:lineRule="exact"/>
              <w:rPr>
                <w:sz w:val="20"/>
                <w:szCs w:val="20"/>
                <w:color w:val="auto"/>
              </w:rPr>
            </w:pPr>
            <w:r>
              <w:rPr>
                <w:rFonts w:ascii="Times New Roman" w:cs="Times New Roman" w:eastAsia="Times New Roman" w:hAnsi="Times New Roman"/>
                <w:sz w:val="14"/>
                <w:szCs w:val="14"/>
                <w:color w:val="auto"/>
              </w:rPr>
              <w:t>Deduct: operating expenses</w:t>
            </w:r>
            <w:r>
              <w:rPr>
                <w:rFonts w:ascii="Times New Roman" w:cs="Times New Roman" w:eastAsia="Times New Roman" w:hAnsi="Times New Roman"/>
                <w:sz w:val="18"/>
                <w:szCs w:val="18"/>
                <w:b w:val="1"/>
                <w:bCs w:val="1"/>
                <w:color w:val="auto"/>
                <w:vertAlign w:val="superscript"/>
              </w:rPr>
              <w:t>(1)</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(245,521)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(200,057)</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(45,464)</w:t>
            </w:r>
          </w:p>
        </w:tc>
      </w:tr>
      <w:tr>
        <w:trPr>
          <w:trHeight w:val="19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Deduct: NOI attributable to noncontrolling interests in consolidated subsidiaries</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(4,412)</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(6,478)</w:t>
            </w:r>
          </w:p>
        </w:tc>
      </w:tr>
      <w:tr>
        <w:trPr>
          <w:trHeight w:val="192"/>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Add: NOI from partially owned entities</w:t>
            </w:r>
          </w:p>
        </w:tc>
        <w:tc>
          <w:tcPr>
            <w:tcW w:w="10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88,808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84,877</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3,931</w:t>
            </w:r>
          </w:p>
        </w:tc>
      </w:tr>
      <w:tr>
        <w:trPr>
          <w:trHeight w:val="224"/>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w:t>
            </w: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300,054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260,620</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39,434</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040" w:type="dxa"/>
            <w:vAlign w:val="bottom"/>
          </w:tcPr>
          <w:p>
            <w:pPr>
              <w:spacing w:after="0"/>
              <w:rPr>
                <w:sz w:val="16"/>
                <w:szCs w:val="16"/>
                <w:color w:val="auto"/>
              </w:rPr>
            </w:pPr>
          </w:p>
        </w:tc>
        <w:tc>
          <w:tcPr>
            <w:tcW w:w="31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tc>
        <w:tc>
          <w:tcPr>
            <w:tcW w:w="1060" w:type="dxa"/>
            <w:vAlign w:val="bottom"/>
          </w:tcPr>
          <w:p>
            <w:pPr>
              <w:spacing w:after="0"/>
              <w:rPr>
                <w:sz w:val="16"/>
                <w:szCs w:val="16"/>
                <w:color w:val="auto"/>
              </w:rPr>
            </w:pPr>
          </w:p>
        </w:tc>
      </w:tr>
      <w:tr>
        <w:trPr>
          <w:trHeight w:val="24"/>
        </w:trPr>
        <w:tc>
          <w:tcPr>
            <w:tcW w:w="6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60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New York</w:t>
            </w:r>
          </w:p>
        </w:tc>
        <w:tc>
          <w:tcPr>
            <w:tcW w:w="600" w:type="dxa"/>
            <w:vAlign w:val="bottom"/>
          </w:tcPr>
          <w:p>
            <w:pPr>
              <w:spacing w:after="0"/>
              <w:rPr>
                <w:sz w:val="16"/>
                <w:szCs w:val="16"/>
                <w:color w:val="auto"/>
              </w:rPr>
            </w:pPr>
          </w:p>
        </w:tc>
        <w:tc>
          <w:tcPr>
            <w:tcW w:w="10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8"/>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040" w:type="dxa"/>
            <w:vAlign w:val="bottom"/>
            <w:tcBorders>
              <w:top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453,700</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365,654</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88,046</w:t>
            </w:r>
          </w:p>
        </w:tc>
      </w:tr>
      <w:tr>
        <w:trPr>
          <w:trHeight w:val="199"/>
        </w:trPr>
        <w:tc>
          <w:tcPr>
            <w:tcW w:w="6040" w:type="dxa"/>
            <w:vAlign w:val="bottom"/>
          </w:tcPr>
          <w:p>
            <w:pPr>
              <w:ind w:left="20"/>
              <w:spacing w:after="0" w:line="199" w:lineRule="exact"/>
              <w:rPr>
                <w:sz w:val="20"/>
                <w:szCs w:val="20"/>
                <w:color w:val="auto"/>
              </w:rPr>
            </w:pPr>
            <w:r>
              <w:rPr>
                <w:rFonts w:ascii="Times New Roman" w:cs="Times New Roman" w:eastAsia="Times New Roman" w:hAnsi="Times New Roman"/>
                <w:sz w:val="14"/>
                <w:szCs w:val="14"/>
                <w:color w:val="auto"/>
              </w:rPr>
              <w:t>Deduct: operating expenses</w:t>
            </w:r>
            <w:r>
              <w:rPr>
                <w:rFonts w:ascii="Times New Roman" w:cs="Times New Roman" w:eastAsia="Times New Roman" w:hAnsi="Times New Roman"/>
                <w:sz w:val="18"/>
                <w:szCs w:val="18"/>
                <w:b w:val="1"/>
                <w:bCs w:val="1"/>
                <w:color w:val="auto"/>
                <w:vertAlign w:val="superscript"/>
              </w:rPr>
              <w:t>(1)</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(241,769)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(197,119)</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(44,650)</w:t>
            </w:r>
          </w:p>
        </w:tc>
      </w:tr>
      <w:tr>
        <w:trPr>
          <w:trHeight w:val="19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Deduct: NOI attributable to noncontrolling interests in consolidated subsidiaries</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(7,326)</w:t>
            </w:r>
          </w:p>
        </w:tc>
      </w:tr>
      <w:tr>
        <w:trPr>
          <w:trHeight w:val="192"/>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Add: NOI from partially owned entities</w:t>
            </w:r>
          </w:p>
        </w:tc>
        <w:tc>
          <w:tcPr>
            <w:tcW w:w="10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64,884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62,420</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2,464</w:t>
            </w:r>
          </w:p>
        </w:tc>
      </w:tr>
      <w:tr>
        <w:trPr>
          <w:trHeight w:val="224"/>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w:t>
            </w: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266,676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228,142</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38,534</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020" w:type="dxa"/>
            <w:vAlign w:val="bottom"/>
          </w:tcPr>
          <w:p>
            <w:pPr>
              <w:spacing w:after="0"/>
              <w:rPr>
                <w:sz w:val="16"/>
                <w:szCs w:val="16"/>
                <w:color w:val="auto"/>
              </w:rPr>
            </w:pPr>
          </w:p>
        </w:tc>
        <w:tc>
          <w:tcPr>
            <w:tcW w:w="3100" w:type="dxa"/>
            <w:vAlign w:val="bottom"/>
            <w:gridSpan w:val="6"/>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2026</w:t>
            </w:r>
          </w:p>
        </w:tc>
        <w:tc>
          <w:tcPr>
            <w:tcW w:w="1080" w:type="dxa"/>
            <w:vAlign w:val="bottom"/>
          </w:tcPr>
          <w:p>
            <w:pPr>
              <w:spacing w:after="0"/>
              <w:rPr>
                <w:sz w:val="16"/>
                <w:szCs w:val="16"/>
                <w:color w:val="auto"/>
              </w:rPr>
            </w:pPr>
          </w:p>
        </w:tc>
      </w:tr>
      <w:tr>
        <w:trPr>
          <w:trHeight w:val="24"/>
        </w:trPr>
        <w:tc>
          <w:tcPr>
            <w:tcW w:w="6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60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New York</w:t>
            </w:r>
          </w:p>
        </w:tc>
        <w:tc>
          <w:tcPr>
            <w:tcW w:w="580" w:type="dxa"/>
            <w:vAlign w:val="bottom"/>
          </w:tcPr>
          <w:p>
            <w:pPr>
              <w:spacing w:after="0"/>
              <w:rPr>
                <w:sz w:val="16"/>
                <w:szCs w:val="16"/>
                <w:color w:val="auto"/>
              </w:rPr>
            </w:pPr>
          </w:p>
        </w:tc>
        <w:tc>
          <w:tcPr>
            <w:tcW w:w="108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8"/>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020" w:type="dxa"/>
            <w:vAlign w:val="bottom"/>
            <w:tcBorders>
              <w:top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1,389,004</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1,138,014</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250,990</w:t>
            </w:r>
          </w:p>
        </w:tc>
      </w:tr>
      <w:tr>
        <w:trPr>
          <w:trHeight w:val="191"/>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Deduct: operating expenses</w:t>
            </w:r>
            <w:r>
              <w:rPr>
                <w:rFonts w:ascii="Times New Roman" w:cs="Times New Roman" w:eastAsia="Times New Roman" w:hAnsi="Times New Roman"/>
                <w:sz w:val="9"/>
                <w:szCs w:val="9"/>
                <w:b w:val="1"/>
                <w:bCs w:val="1"/>
                <w:color w:val="auto"/>
              </w:rPr>
              <w:t>(1)</w:t>
            </w:r>
          </w:p>
        </w:tc>
        <w:tc>
          <w:tcPr>
            <w:tcW w:w="10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(715,801)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(598,105)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(117,696)</w:t>
            </w:r>
          </w:p>
        </w:tc>
      </w:tr>
      <w:tr>
        <w:trPr>
          <w:trHeight w:val="20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Deduct: NOI attributable to noncontrolling interests in consolidated subsidiaries</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(12,237)</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(18,479)</w:t>
            </w:r>
          </w:p>
        </w:tc>
      </w:tr>
      <w:tr>
        <w:trPr>
          <w:trHeight w:val="192"/>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Add: NOI from partially owned entities</w:t>
            </w:r>
          </w:p>
        </w:tc>
        <w:tc>
          <w:tcPr>
            <w:tcW w:w="10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233,754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221,195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12,559</w:t>
            </w:r>
          </w:p>
        </w:tc>
      </w:tr>
      <w:tr>
        <w:trPr>
          <w:trHeight w:val="224"/>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w:t>
            </w:r>
          </w:p>
        </w:tc>
        <w:tc>
          <w:tcPr>
            <w:tcW w:w="102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876,241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748,867</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127,374</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on the following page.</w:t>
      </w: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37" w:name="page38"/>
    <w:bookmarkEnd w:id="37"/>
    <w:p>
      <w:pPr>
        <w:jc w:val="center"/>
        <w:ind w:left="340" w:right="2680"/>
        <w:spacing w:after="0" w:line="261" w:lineRule="auto"/>
        <w:rPr>
          <w:sz w:val="20"/>
          <w:szCs w:val="20"/>
          <w:color w:val="auto"/>
        </w:rPr>
      </w:pPr>
      <w:r>
        <w:rPr>
          <w:rFonts w:ascii="Times New Roman" w:cs="Times New Roman" w:eastAsia="Times New Roman" w:hAnsi="Times New Roman"/>
          <w:sz w:val="18"/>
          <w:szCs w:val="18"/>
          <w:b w:val="1"/>
          <w:bCs w:val="1"/>
          <w:color w:val="auto"/>
        </w:rPr>
        <w:t>VORNADO REALTY TRUST AND VORNADO REALTY L.P.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Information - continued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020" w:type="dxa"/>
            <w:vAlign w:val="bottom"/>
          </w:tcPr>
          <w:p>
            <w:pPr>
              <w:spacing w:after="0"/>
              <w:rPr>
                <w:sz w:val="16"/>
                <w:szCs w:val="16"/>
                <w:color w:val="auto"/>
              </w:rPr>
            </w:pPr>
          </w:p>
        </w:tc>
        <w:tc>
          <w:tcPr>
            <w:tcW w:w="3100" w:type="dxa"/>
            <w:vAlign w:val="bottom"/>
            <w:gridSpan w:val="6"/>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tc>
        <w:tc>
          <w:tcPr>
            <w:tcW w:w="1080" w:type="dxa"/>
            <w:vAlign w:val="bottom"/>
          </w:tcPr>
          <w:p>
            <w:pPr>
              <w:spacing w:after="0"/>
              <w:rPr>
                <w:sz w:val="16"/>
                <w:szCs w:val="16"/>
                <w:color w:val="auto"/>
              </w:rPr>
            </w:pPr>
          </w:p>
        </w:tc>
      </w:tr>
      <w:tr>
        <w:trPr>
          <w:trHeight w:val="24"/>
        </w:trPr>
        <w:tc>
          <w:tcPr>
            <w:tcW w:w="6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60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New York</w:t>
            </w:r>
          </w:p>
        </w:tc>
        <w:tc>
          <w:tcPr>
            <w:tcW w:w="580" w:type="dxa"/>
            <w:vAlign w:val="bottom"/>
          </w:tcPr>
          <w:p>
            <w:pPr>
              <w:spacing w:after="0"/>
              <w:rPr>
                <w:sz w:val="16"/>
                <w:szCs w:val="16"/>
                <w:color w:val="auto"/>
              </w:rPr>
            </w:pPr>
          </w:p>
        </w:tc>
        <w:tc>
          <w:tcPr>
            <w:tcW w:w="108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8"/>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020" w:type="dxa"/>
            <w:vAlign w:val="bottom"/>
            <w:tcBorders>
              <w:top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1,356,716</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1,096,722</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259,994</w:t>
            </w:r>
          </w:p>
        </w:tc>
      </w:tr>
      <w:tr>
        <w:trPr>
          <w:trHeight w:val="199"/>
        </w:trPr>
        <w:tc>
          <w:tcPr>
            <w:tcW w:w="6040" w:type="dxa"/>
            <w:vAlign w:val="bottom"/>
          </w:tcPr>
          <w:p>
            <w:pPr>
              <w:ind w:left="20"/>
              <w:spacing w:after="0" w:line="199" w:lineRule="exact"/>
              <w:rPr>
                <w:sz w:val="20"/>
                <w:szCs w:val="20"/>
                <w:color w:val="auto"/>
              </w:rPr>
            </w:pPr>
            <w:r>
              <w:rPr>
                <w:rFonts w:ascii="Times New Roman" w:cs="Times New Roman" w:eastAsia="Times New Roman" w:hAnsi="Times New Roman"/>
                <w:sz w:val="14"/>
                <w:szCs w:val="14"/>
                <w:color w:val="auto"/>
              </w:rPr>
              <w:t>Deduct: operating expenses</w:t>
            </w:r>
            <w:r>
              <w:rPr>
                <w:rFonts w:ascii="Times New Roman" w:cs="Times New Roman" w:eastAsia="Times New Roman" w:hAnsi="Times New Roman"/>
                <w:sz w:val="18"/>
                <w:szCs w:val="18"/>
                <w:b w:val="1"/>
                <w:bCs w:val="1"/>
                <w:color w:val="auto"/>
                <w:vertAlign w:val="superscript"/>
              </w:rPr>
              <w:t>(1)</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(685,857)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(566,649)</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(119,208)</w:t>
            </w:r>
          </w:p>
        </w:tc>
      </w:tr>
      <w:tr>
        <w:trPr>
          <w:trHeight w:val="19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Deduct: NOI attributable to noncontrolling interests in consolidated subsidiaries</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(31,442)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(8,872)</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(22,570)</w:t>
            </w:r>
          </w:p>
        </w:tc>
      </w:tr>
      <w:tr>
        <w:trPr>
          <w:trHeight w:val="192"/>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Add: NOI from partially owned entities</w:t>
            </w:r>
          </w:p>
        </w:tc>
        <w:tc>
          <w:tcPr>
            <w:tcW w:w="10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198,222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189,866</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8,356</w:t>
            </w:r>
          </w:p>
        </w:tc>
      </w:tr>
      <w:tr>
        <w:trPr>
          <w:trHeight w:val="224"/>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w:t>
            </w:r>
          </w:p>
        </w:tc>
        <w:tc>
          <w:tcPr>
            <w:tcW w:w="102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837,639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711,067</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126,572</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w:t>
      </w:r>
    </w:p>
    <w:p>
      <w:pPr>
        <w:spacing w:after="0" w:line="24" w:lineRule="exact"/>
        <w:rPr>
          <w:sz w:val="20"/>
          <w:szCs w:val="20"/>
          <w:color w:val="auto"/>
        </w:rPr>
      </w:pPr>
    </w:p>
    <w:p>
      <w:pPr>
        <w:ind w:left="320" w:right="1760" w:hanging="314"/>
        <w:spacing w:after="0" w:line="290" w:lineRule="auto"/>
        <w:tabs>
          <w:tab w:leader="none" w:pos="312"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various expenses associated with operating our properties, including but not limited to: real estate taxes, ground rent, insurance, and utilities. Our CODM is not regularly provided with significant expense categories and amounts included within net operating income at share.</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reconciliation of NOI at share to (loss) income before income taxes for the three and nine months ended September 30, 2026 and 2025.</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80" w:type="dxa"/>
            <w:vAlign w:val="bottom"/>
          </w:tcPr>
          <w:p>
            <w:pPr>
              <w:spacing w:after="0"/>
              <w:rPr>
                <w:sz w:val="16"/>
                <w:szCs w:val="16"/>
                <w:color w:val="auto"/>
              </w:rPr>
            </w:pPr>
          </w:p>
        </w:tc>
        <w:tc>
          <w:tcPr>
            <w:tcW w:w="28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20" w:type="dxa"/>
            <w:vAlign w:val="bottom"/>
          </w:tcPr>
          <w:p>
            <w:pPr>
              <w:spacing w:after="0"/>
              <w:rPr>
                <w:sz w:val="16"/>
                <w:szCs w:val="16"/>
                <w:color w:val="auto"/>
              </w:rPr>
            </w:pPr>
          </w:p>
        </w:tc>
        <w:tc>
          <w:tcPr>
            <w:tcW w:w="2740" w:type="dxa"/>
            <w:vAlign w:val="bottom"/>
            <w:gridSpan w:val="4"/>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4"/>
        </w:trPr>
        <w:tc>
          <w:tcPr>
            <w:tcW w:w="54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4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300,054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876,241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837,639</w:t>
            </w: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 attributable to noncontrolling interests in consolidated subsidiaries</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31,442</w:t>
            </w: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from partially owned entities</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(88,808)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(233,754)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(198,222)</w:t>
            </w: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gains on disposition of wholly owned and partially owned assets</w:t>
            </w:r>
          </w:p>
        </w:tc>
        <w:tc>
          <w:tcPr>
            <w:tcW w:w="8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24,039</w:t>
            </w: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debt extinguishment</w:t>
            </w: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32,073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sales-type lease</w:t>
            </w:r>
          </w:p>
        </w:tc>
        <w:tc>
          <w:tcPr>
            <w:tcW w:w="8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803,248</w:t>
            </w: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debt expense</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(88,714)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(267,502)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(268,204)</w:t>
            </w: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investment income, net</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41,730</w:t>
            </w: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partially owned entities</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99,335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135,588</w:t>
            </w: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 related costs and other</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(4,327)</w:t>
            </w:r>
          </w:p>
        </w:tc>
      </w:tr>
      <w:tr>
        <w:trPr>
          <w:trHeight w:val="20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(34,705)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(116,050)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(116,065)</w:t>
            </w:r>
          </w:p>
        </w:tc>
      </w:tr>
      <w:tr>
        <w:trPr>
          <w:trHeight w:val="192"/>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(169,045)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(458,801)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(348,851)</w:t>
            </w:r>
          </w:p>
        </w:tc>
      </w:tr>
      <w:tr>
        <w:trPr>
          <w:trHeight w:val="224"/>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(42,296)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938,017</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440" w:hanging="434"/>
        <w:spacing w:after="0"/>
        <w:tabs>
          <w:tab w:leader="none" w:pos="4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350 Park Avenue</w:t>
      </w:r>
    </w:p>
    <w:p>
      <w:pPr>
        <w:spacing w:after="0" w:line="6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October 20, 2026, the existing joint venture between Vornado and Rudin (the “Vornado/Rudin JV”) and an affiliate of KG, the founder and CEO of Citadel, formed a new joint venture (the “350 Park JV”) to develop an approximately 1,900,000 square foot office tower on the combined sites of 350 Park Avenue, 39 East 51st Street and 40 East 52nd Street, with Citadel Enterprise Americas LLC (“CEAMER”) as the anchor tenant. We consolidate the Vornado/Rudin JV. We contributed our wholly owned 350 Park Avenue property to the 350 Park JV, the Vornado/Rudin JV contributed 39 East 51st Street and Rudin contributed 40 East 52nd Street. In exchange for these contributions, the Vornado/Rudin JV received a 40% ownership interest in the 350 Park JV, and KG owns the remaining 60% interest. Through the Vornado/Rudin JV, we hold a 36.1% effective interest and Rudin holds a 3.9% effective interest. Rudin also holds $150,000,000 of preferred equity in the Vornado/Rudin JV. Our contribution of 350 Park Avenue was valued at $900,000,000, or $500,000,000 net of the $400,000,000 mortgage loan on the property which was satisfied at closing.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Concurrently with the closing, the 350 Park JV:</w:t>
      </w:r>
    </w:p>
    <w:p>
      <w:pPr>
        <w:spacing w:after="0" w:line="24" w:lineRule="exact"/>
        <w:rPr>
          <w:sz w:val="20"/>
          <w:szCs w:val="20"/>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 1,050,000 square foot anchor lease with CEAMER; and</w:t>
      </w:r>
    </w:p>
    <w:p>
      <w:pPr>
        <w:spacing w:after="0" w:line="5" w:lineRule="exact"/>
        <w:rPr>
          <w:rFonts w:ascii="Times New Roman" w:cs="Times New Roman" w:eastAsia="Times New Roman" w:hAnsi="Times New Roman"/>
          <w:sz w:val="18"/>
          <w:szCs w:val="18"/>
          <w:color w:val="auto"/>
        </w:rPr>
      </w:pPr>
    </w:p>
    <w:p>
      <w:pPr>
        <w:jc w:val="both"/>
        <w:ind w:left="640" w:hanging="316"/>
        <w:spacing w:after="0" w:line="248"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a $3.3 billion construction loan. The loan bears interest at SOFR plus 3.00%, which may be reduced to SOFR plus 2.50% upon substantial completion and achieving a minimum debt service coverage ratio, and matures in October 2032 with a one-year extension option subject to certain conditions.</w:t>
      </w:r>
    </w:p>
    <w:p>
      <w:pPr>
        <w:spacing w:after="0" w:line="2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Vornado shares control with KG over major decisions of the 350 Park JV, including decisions about leasing, operating and capital budgets and refinancings. Accordingly, we no longer hold a controlling financial interest in 350 Park Avenue and 39 East 51st Street. Beginning October 20, 2026, we deconsolidated the properties and account for our investment in the 350 Park JV under the equity method. We will recognize an estimated net gain of approximately $485,000,000 in the fourth quarter of 2026.</w:t>
      </w: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Trustees of Vornado Realty Trust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Review of Interim Financial Information</w:t>
      </w:r>
    </w:p>
    <w:p>
      <w:pPr>
        <w:spacing w:after="0" w:line="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reviewed the accompanying consolidated balance sheet of Vornado Realty Trust and subsidiaries (the “Company”) as of September 30, 2026, the related consolidated statements of income, comprehensive income, and changes in equity for the three-month and nine-month periods ended September 30, 2026 and 2025, and of cash flows for the nine-month periods ended September 30, 2026 and 2025,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the consolidated balance sheet of the Company as of December 31, 2025, and the related consolidated statements of income, comprehensive income, changes in equity, and cash flows for the year then ended (not presented herein); and in our report dated February 9, 2026, we expressed an unqualified opinion on those consolidated financial statements. In our opinion, the information set forth in the accompanying consolidated balance sheet as of December 31, 2025, is fairly stated, in all material respects, in relation to the consolidated balance sheet from which it has been derived.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Review Results</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 2026</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Partners of Vornado Realty L.P. and the Board of Trustees of Vornado Realty Trust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Review of Interim Financial Information</w:t>
      </w:r>
    </w:p>
    <w:p>
      <w:pPr>
        <w:spacing w:after="0" w:line="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reviewed the accompanying consolidated balance sheet of Vornado Realty L.P. and subsidiaries (the “Partnership”) as of September 30, 2026, the related consolidated statements of income, comprehensive income, and changes in equity for the three-month and nine-month periods ended September 30, 2026 and 2025, and of cash flows for the nine-month periods ended September 30, 2026 and 2025,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the consolidated balance sheet of the Partnership as of December 31, 2025 and the related consolidated statements of income, comprehensive income, changes in equity, and cash flows for the year then ended (not presented herein); and in our report dated February 9, 2026, we expressed an unqualified opinion on those consolidated financial statements. In our opinion, the information set forth in the accompanying consolidated balance sheet as of December 31, 2025, is fairly stated, in all material respects, in relation to the consolidated balance sheet from which it has been derived.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Review Results</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interim financial information is the responsibility of the Partnership's management.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 2026</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both"/>
        <w:ind w:firstLine="318"/>
        <w:spacing w:after="0" w:line="214" w:lineRule="exact"/>
        <w:rPr>
          <w:sz w:val="20"/>
          <w:szCs w:val="20"/>
          <w:color w:val="auto"/>
        </w:rPr>
      </w:pPr>
      <w:r>
        <w:rPr>
          <w:rFonts w:ascii="Times New Roman" w:cs="Times New Roman" w:eastAsia="Times New Roman" w:hAnsi="Times New Roman"/>
          <w:sz w:val="17"/>
          <w:szCs w:val="17"/>
          <w:color w:val="auto"/>
        </w:rPr>
        <w:t>Certain statements contained in this Quarterly Report constitute forward-looking statements as such term is defined in Section 27A of the Securities Act of 1933, as amended, and Section 21E of the Securities Exchange Act of 1934, as amended. Forward-looking statements are not guarantees of performance. They represent our intentions, plans, expectations and beliefs and are subject to numerous assumptions, risks and uncertainties. Our future results, financial condition and business may differ materially from those expressed in these forward-looking statements. You can find many of these statements by looking for words such as “approximates,” “believes,” “expects,” “anticipates,” “estimates,” “intends,” “plans,” “would,” “may” or other similar expressions in this Quarterly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 We also note the following forward-looking statements: in the case of our development and redevelopment projects, the estimated completion date, estimated project cost and cost to complete; estimates of future rents; estimates of future capital expenditures, dividends to common and preferred shareholders and Operating Partnership distributions. Many of the factors that will determine the outcome of these and our other forward-looking statements are beyond our ability to control or predict. For further discussion of factors that could materially affect the outcome of our forward-looking statements, see "Item 1A. Risk Factors" in Part I of our Annual Report on Form 10-K for the year ended December 31, 2025.</w:t>
      </w:r>
    </w:p>
    <w:p>
      <w:pPr>
        <w:spacing w:after="0" w:line="3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 these statements, we claim the protection of the safe harbor for forward-looking statements contained in the Private Securities Litigation Reform Act of 1995. You are cautioned not to place undue reliance on our forward-looking statements, which speak only as of the date of this Quarterly Report on Form 10-Q or the date of any document incorporated by reference.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occurring after the date of this Quarterly Report on Form 10-Q.</w:t>
      </w:r>
    </w:p>
    <w:p>
      <w:pPr>
        <w:spacing w:after="0" w:line="26"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 includes a discussion of our consolidated financial statements for the three and nine months ended September 30, 2026.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 The results of operations for the three and nine months ended September 30, 2026 are not necessarily indicative of the operating results for the full year. Certain prior year balances have been reclassified in order to conform to the current year presentation.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0" w:lineRule="exact"/>
        <w:rPr>
          <w:sz w:val="20"/>
          <w:szCs w:val="20"/>
          <w:color w:val="auto"/>
        </w:rPr>
      </w:pPr>
    </w:p>
    <w:p>
      <w:pPr>
        <w:spacing w:after="0" w:line="20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Vornado Realty Trust (“Vornado”) is a fully-integrated real estate investment trust (“REIT”) and conducts its business through, and substantially all of its interests in properties are held by, Vornado Realty L.P. (the “Operating Partnership”), a Delaware limited partnership. Vornado is the sole general partner of and owned approximately 91.2% of the common limited partnership interest in the Operating Partnership as of September 30, 2026. All references to the “Company,” “we,” “us” and “our” mean, collectively, Vornado, the Operating Partnership and those subsidiaries consolidated by Vornado.</w:t>
      </w:r>
    </w:p>
    <w:p>
      <w:pPr>
        <w:spacing w:after="0" w:line="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compete with a large number of real estate investors, property owners and developers, some of whom may be willing to accept lower returns on their investments. Principal factors of competition are rents charged, tenant concessions offered, attractiveness of location, the quality of the property and the breadth and the quality of services provided. Our success depends upon, among other factors, trends of the global, national, regional and local economies, the financial condition and operating results of current and prospective tenants and customers, availability and cost of capital, construction and renovation costs, taxes, governmental regulations, legislation, population and employment trends. See “Risk Factors” in Part I, Item 1A of our Annual Report on Form 10-K for the year ended December 31, 2025 for additional information regarding these factors.</w:t>
      </w:r>
    </w:p>
    <w:p>
      <w:pPr>
        <w:spacing w:after="0" w:line="2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business has been, and may continue to be, affected by interest rate fluctuations, the effects of inflation and other uncertainties including the potential for an economic downturn. These factors could have a material impact on our business, financial condition, results of operations and cash flows.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Vornado Realty Trust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Quarter Ended September 30, 2026 Financial Results Summary</w:t>
      </w:r>
    </w:p>
    <w:p>
      <w:pPr>
        <w:spacing w:after="0" w:line="6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Net loss attributable to common shareholders for the quarter ended September 30, 2026 was $47,138,000, or $0.25 per diluted share, compared to net income attributable to common shareholders of $11,589,000, or $0.06 per diluted share, for the prior year’s quarter.</w:t>
      </w:r>
    </w:p>
    <w:p>
      <w:pPr>
        <w:spacing w:after="0" w:line="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Funds from operations (“FFO”) attributable to common shareholders plus assumed conversions for the quarter ended September 30, 2026 was $122,646,000, or $0.62 per diluted share, compared to $117,372,000, or $0.58 per diluted share, for the prior year’s quarter. FFO attributable to common shareholders plus assumed conversions for the quarters ended September 30, 2026 and 2025 include certain items that impact the comparability of period-to-period FFO, which are listed in the table below. The aggregate of these items, net of amounts attributable to noncontrolling interests, decreased FFO attributable to common shareholders plus assumed conversions for the quarter ended September 30, 2026 by $4,010,000, or $0.03 per diluted share, and increased FFO attributable to common shareholders plus assumed conversions by $2,837,000, or $0.01 per diluted share, for the quarter ended September 30, 2025.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2026 Financial Results Summary</w:t>
      </w:r>
    </w:p>
    <w:p>
      <w:pPr>
        <w:spacing w:after="0" w:line="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loss attributable to common shareholders for the nine months ended September 30, 2026 was $53,546,000, or $0.28 per diluted share, compared to net income attributable to common shareholders of $842,250,000, or $4.19 per diluted share, for the nine months ended September 30, 2025. The decrease is primarily due to the $803,248,000 gain related to the 770 Broadway master lease with NYU during the nine months ended September 30, 2025.</w:t>
      </w:r>
    </w:p>
    <w:p>
      <w:pPr>
        <w:spacing w:after="0" w:line="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FFO attributable to common shareholders plus assumed conversions for the nine months ended September 30, 2026 was $363,086,000, or $1.85 per diluted share, compared to $373,482,000, or $1.86 per diluted share, for the nine months ended September 30, 2025. FFO attributable to common shareholders plus assumed conversions for the nine months ended September 30, 2026 and 2025 include certain items that impact the comparability of period-to-period FFO, which are listed in the table below. The aggregate of these items, net of amounts attributable to noncontrolling interests, increased FFO attributable to common shareholders plus assumed conversions for the nine months ended September 30, 2026 by $2,145,000, or $0.01 per diluted share and $19,243,000, or $0.10 per diluted share for the nine months ended September 30, 2025.</w:t>
      </w:r>
    </w:p>
    <w:p>
      <w:pPr>
        <w:spacing w:after="0" w:line="2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The following table details the income and expense items affecting the comparability of FFO attributable to common shareholders plus assumed conversions and our FFO attributable to common shareholders plus assumed conversions, as adjusted:</w:t>
      </w:r>
    </w:p>
    <w:tbl>
      <w:tblPr>
        <w:tblLayout w:type="fixed"/>
        <w:tblInd w:w="0" w:type="dxa"/>
        <w:tblCellMar>
          <w:top w:w="0" w:type="dxa"/>
          <w:left w:w="0" w:type="dxa"/>
          <w:bottom w:w="0" w:type="dxa"/>
          <w:right w:w="0" w:type="dxa"/>
        </w:tblCellMar>
      </w:tblPr>
      <w:tr>
        <w:trPr>
          <w:trHeight w:val="186"/>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80" w:type="dxa"/>
            <w:vAlign w:val="bottom"/>
          </w:tcPr>
          <w:p>
            <w:pPr>
              <w:spacing w:after="0"/>
              <w:rPr>
                <w:sz w:val="16"/>
                <w:szCs w:val="16"/>
                <w:color w:val="auto"/>
              </w:rPr>
            </w:pPr>
          </w:p>
        </w:tc>
        <w:tc>
          <w:tcPr>
            <w:tcW w:w="28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20" w:type="dxa"/>
            <w:vAlign w:val="bottom"/>
          </w:tcPr>
          <w:p>
            <w:pPr>
              <w:spacing w:after="0"/>
              <w:rPr>
                <w:sz w:val="16"/>
                <w:szCs w:val="16"/>
                <w:color w:val="auto"/>
              </w:rPr>
            </w:pPr>
          </w:p>
        </w:tc>
        <w:tc>
          <w:tcPr>
            <w:tcW w:w="2740" w:type="dxa"/>
            <w:vAlign w:val="bottom"/>
            <w:gridSpan w:val="4"/>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4"/>
        </w:trPr>
        <w:tc>
          <w:tcPr>
            <w:tcW w:w="54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23"/>
        </w:trPr>
        <w:tc>
          <w:tcPr>
            <w:tcW w:w="5440" w:type="dxa"/>
            <w:vAlign w:val="bottom"/>
          </w:tcPr>
          <w:p>
            <w:pPr>
              <w:ind w:left="20"/>
              <w:spacing w:after="0" w:line="123" w:lineRule="exact"/>
              <w:rPr>
                <w:sz w:val="20"/>
                <w:szCs w:val="20"/>
                <w:color w:val="auto"/>
              </w:rPr>
            </w:pPr>
            <w:r>
              <w:rPr>
                <w:rFonts w:ascii="Times New Roman" w:cs="Times New Roman" w:eastAsia="Times New Roman" w:hAnsi="Times New Roman"/>
                <w:sz w:val="14"/>
                <w:szCs w:val="14"/>
                <w:color w:val="auto"/>
              </w:rPr>
              <w:t>Certain expense (income) items that impact FFO attributable to common shareholders plus</w:t>
            </w: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assumed conversions:</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44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Deferred tax liability on our investment in the Farley Building (held through a taxable REIT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7,729</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10,128</w:t>
            </w:r>
          </w:p>
        </w:tc>
        <w:tc>
          <w:tcPr>
            <w:tcW w:w="0" w:type="dxa"/>
            <w:vAlign w:val="bottom"/>
          </w:tcPr>
          <w:p>
            <w:pPr>
              <w:spacing w:after="0"/>
              <w:rPr>
                <w:sz w:val="1"/>
                <w:szCs w:val="1"/>
                <w:color w:val="auto"/>
              </w:rPr>
            </w:pPr>
          </w:p>
        </w:tc>
      </w:tr>
      <w:tr>
        <w:trPr>
          <w:trHeight w:val="195"/>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subsidiary)</w:t>
            </w:r>
          </w:p>
        </w:tc>
        <w:tc>
          <w:tcPr>
            <w:tcW w:w="80" w:type="dxa"/>
            <w:vAlign w:val="bottom"/>
            <w:vMerge w:val="continue"/>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606 Broadway debt extinguishment gain, net of noncontrolling interests</w:t>
            </w:r>
          </w:p>
        </w:tc>
        <w:tc>
          <w:tcPr>
            <w:tcW w:w="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5440" w:type="dxa"/>
            <w:vAlign w:val="bottom"/>
            <w:shd w:val="clear" w:color="auto" w:fill="CCEEFF"/>
          </w:tcPr>
          <w:p>
            <w:pPr>
              <w:ind w:left="180"/>
              <w:spacing w:after="0" w:line="144" w:lineRule="exact"/>
              <w:rPr>
                <w:sz w:val="20"/>
                <w:szCs w:val="20"/>
                <w:color w:val="auto"/>
              </w:rPr>
            </w:pPr>
            <w:r>
              <w:rPr>
                <w:rFonts w:ascii="Times New Roman" w:cs="Times New Roman" w:eastAsia="Times New Roman" w:hAnsi="Times New Roman"/>
                <w:sz w:val="14"/>
                <w:szCs w:val="14"/>
                <w:color w:val="auto"/>
              </w:rPr>
              <w:t>After-tax net gain on sale of 220 Central Park South ("220 CPS") condominium units and</w:t>
            </w:r>
          </w:p>
        </w:tc>
        <w:tc>
          <w:tcPr>
            <w:tcW w:w="8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(11,110)</w:t>
            </w:r>
          </w:p>
        </w:tc>
        <w:tc>
          <w:tcPr>
            <w:tcW w:w="0" w:type="dxa"/>
            <w:vAlign w:val="bottom"/>
          </w:tcPr>
          <w:p>
            <w:pPr>
              <w:spacing w:after="0"/>
              <w:rPr>
                <w:sz w:val="1"/>
                <w:szCs w:val="1"/>
                <w:color w:val="auto"/>
              </w:rPr>
            </w:pPr>
          </w:p>
        </w:tc>
      </w:tr>
      <w:tr>
        <w:trPr>
          <w:trHeight w:val="195"/>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ancillary amenities</w:t>
            </w:r>
          </w:p>
        </w:tc>
        <w:tc>
          <w:tcPr>
            <w:tcW w:w="80" w:type="dxa"/>
            <w:vAlign w:val="bottom"/>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sale of Canal Street residential condominium units</w:t>
            </w:r>
          </w:p>
        </w:tc>
        <w:tc>
          <w:tcPr>
            <w:tcW w:w="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(10,337)</w:t>
            </w:r>
          </w:p>
        </w:tc>
        <w:tc>
          <w:tcPr>
            <w:tcW w:w="0" w:type="dxa"/>
            <w:vAlign w:val="bottom"/>
          </w:tcPr>
          <w:p>
            <w:pPr>
              <w:spacing w:after="0"/>
              <w:rPr>
                <w:sz w:val="1"/>
                <w:szCs w:val="1"/>
                <w:color w:val="auto"/>
              </w:rPr>
            </w:pPr>
          </w:p>
        </w:tc>
      </w:tr>
      <w:tr>
        <w:trPr>
          <w:trHeight w:val="199"/>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(9,556)</w:t>
            </w:r>
          </w:p>
        </w:tc>
        <w:tc>
          <w:tcPr>
            <w:tcW w:w="0" w:type="dxa"/>
            <w:vAlign w:val="bottom"/>
          </w:tcPr>
          <w:p>
            <w:pPr>
              <w:spacing w:after="0"/>
              <w:rPr>
                <w:sz w:val="1"/>
                <w:szCs w:val="1"/>
                <w:color w:val="auto"/>
              </w:rPr>
            </w:pPr>
          </w:p>
        </w:tc>
      </w:tr>
      <w:tr>
        <w:trPr>
          <w:trHeight w:val="191"/>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(20,875)</w:t>
            </w:r>
          </w:p>
        </w:tc>
        <w:tc>
          <w:tcPr>
            <w:tcW w:w="0" w:type="dxa"/>
            <w:vAlign w:val="bottom"/>
          </w:tcPr>
          <w:p>
            <w:pPr>
              <w:spacing w:after="0"/>
              <w:rPr>
                <w:sz w:val="1"/>
                <w:szCs w:val="1"/>
                <w:color w:val="auto"/>
              </w:rPr>
            </w:pPr>
          </w:p>
        </w:tc>
      </w:tr>
      <w:tr>
        <w:trPr>
          <w:trHeight w:val="20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 share of above adjustments on a dilutive basis</w:t>
            </w:r>
          </w:p>
        </w:tc>
        <w:tc>
          <w:tcPr>
            <w:tcW w:w="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0" w:type="dxa"/>
            <w:vAlign w:val="bottom"/>
          </w:tcPr>
          <w:p>
            <w:pPr>
              <w:spacing w:after="0"/>
              <w:rPr>
                <w:sz w:val="1"/>
                <w:szCs w:val="1"/>
                <w:color w:val="auto"/>
              </w:rPr>
            </w:pPr>
          </w:p>
        </w:tc>
      </w:tr>
      <w:tr>
        <w:trPr>
          <w:trHeight w:val="116"/>
        </w:trPr>
        <w:tc>
          <w:tcPr>
            <w:tcW w:w="544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color w:val="auto"/>
              </w:rPr>
              <w:t>Total of certain expense (income) items that impact FFO attributable to common shareholders</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4,010</w:t>
            </w:r>
          </w:p>
        </w:tc>
        <w:tc>
          <w:tcPr>
            <w:tcW w:w="100" w:type="dxa"/>
            <w:vAlign w:val="bottom"/>
          </w:tcPr>
          <w:p>
            <w:pPr>
              <w:spacing w:after="0"/>
              <w:rPr>
                <w:sz w:val="10"/>
                <w:szCs w:val="10"/>
                <w:color w:val="auto"/>
              </w:rPr>
            </w:pPr>
          </w:p>
        </w:tc>
        <w:tc>
          <w:tcPr>
            <w:tcW w:w="32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(2,837)</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100" w:type="dxa"/>
            <w:vAlign w:val="bottom"/>
          </w:tcPr>
          <w:p>
            <w:pPr>
              <w:spacing w:after="0"/>
              <w:rPr>
                <w:sz w:val="10"/>
                <w:szCs w:val="10"/>
                <w:color w:val="auto"/>
              </w:rPr>
            </w:pPr>
          </w:p>
        </w:tc>
        <w:tc>
          <w:tcPr>
            <w:tcW w:w="32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(19,243)</w:t>
            </w:r>
          </w:p>
        </w:tc>
        <w:tc>
          <w:tcPr>
            <w:tcW w:w="0" w:type="dxa"/>
            <w:vAlign w:val="bottom"/>
          </w:tcPr>
          <w:p>
            <w:pPr>
              <w:spacing w:after="0"/>
              <w:rPr>
                <w:sz w:val="1"/>
                <w:szCs w:val="1"/>
                <w:color w:val="auto"/>
              </w:rPr>
            </w:pPr>
          </w:p>
        </w:tc>
      </w:tr>
      <w:tr>
        <w:trPr>
          <w:trHeight w:val="173"/>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plus assumed conversions, net</w:t>
            </w:r>
          </w:p>
        </w:tc>
        <w:tc>
          <w:tcPr>
            <w:tcW w:w="80" w:type="dxa"/>
            <w:vAlign w:val="bottom"/>
            <w:tcBorders>
              <w:bottom w:val="single" w:sz="8" w:color="auto"/>
            </w:tcBorders>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Overview - continued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 Store Net Operating Income (“NOI”) At Share</w:t>
      </w:r>
    </w:p>
    <w:p>
      <w:pPr>
        <w:spacing w:after="0" w:line="60"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8"/>
          <w:szCs w:val="18"/>
          <w:color w:val="auto"/>
        </w:rPr>
        <w:t>The percentage increase (decrease) in same store NOI at share and same store NOI at share - cash basis of our New York segment, THE MART and 555 California Street are below.</w:t>
      </w:r>
    </w:p>
    <w:tbl>
      <w:tblPr>
        <w:tblLayout w:type="fixed"/>
        <w:tblInd w:w="0" w:type="dxa"/>
        <w:tblCellMar>
          <w:top w:w="0" w:type="dxa"/>
          <w:left w:w="0" w:type="dxa"/>
          <w:bottom w:w="0" w:type="dxa"/>
          <w:right w:w="0" w:type="dxa"/>
        </w:tblCellMar>
      </w:tblPr>
      <w:tr>
        <w:trPr>
          <w:trHeight w:val="144"/>
        </w:trPr>
        <w:tc>
          <w:tcPr>
            <w:tcW w:w="5620" w:type="dxa"/>
            <w:vAlign w:val="bottom"/>
          </w:tcPr>
          <w:p>
            <w:pPr>
              <w:spacing w:after="0"/>
              <w:rPr>
                <w:sz w:val="12"/>
                <w:szCs w:val="12"/>
                <w:color w:val="auto"/>
              </w:rPr>
            </w:pPr>
          </w:p>
        </w:tc>
        <w:tc>
          <w:tcPr>
            <w:tcW w:w="8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14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THE MART</w:t>
            </w:r>
          </w:p>
        </w:tc>
        <w:tc>
          <w:tcPr>
            <w:tcW w:w="1340" w:type="dxa"/>
            <w:vAlign w:val="bottom"/>
          </w:tcPr>
          <w:p>
            <w:pPr>
              <w:jc w:val="right"/>
              <w:ind w:right="169"/>
              <w:spacing w:after="0" w:line="145" w:lineRule="exact"/>
              <w:rPr>
                <w:sz w:val="20"/>
                <w:szCs w:val="20"/>
                <w:color w:val="auto"/>
              </w:rPr>
            </w:pPr>
            <w:r>
              <w:rPr>
                <w:rFonts w:ascii="Times New Roman" w:cs="Times New Roman" w:eastAsia="Times New Roman" w:hAnsi="Times New Roman"/>
                <w:sz w:val="14"/>
                <w:szCs w:val="14"/>
                <w:b w:val="1"/>
                <w:bCs w:val="1"/>
                <w:color w:val="auto"/>
              </w:rPr>
              <w:t>555 California</w:t>
            </w:r>
          </w:p>
        </w:tc>
        <w:tc>
          <w:tcPr>
            <w:tcW w:w="0" w:type="dxa"/>
            <w:vAlign w:val="bottom"/>
          </w:tcPr>
          <w:p>
            <w:pPr>
              <w:spacing w:after="0"/>
              <w:rPr>
                <w:sz w:val="1"/>
                <w:szCs w:val="1"/>
                <w:color w:val="auto"/>
              </w:rPr>
            </w:pPr>
          </w:p>
        </w:tc>
      </w:tr>
      <w:tr>
        <w:trPr>
          <w:trHeight w:val="199"/>
        </w:trPr>
        <w:tc>
          <w:tcPr>
            <w:tcW w:w="56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340" w:type="dxa"/>
            <w:vAlign w:val="bottom"/>
          </w:tcPr>
          <w:p>
            <w:pPr>
              <w:jc w:val="right"/>
              <w:ind w:right="369"/>
              <w:spacing w:after="0" w:line="199" w:lineRule="exact"/>
              <w:rPr>
                <w:sz w:val="20"/>
                <w:szCs w:val="20"/>
                <w:color w:val="auto"/>
              </w:rPr>
            </w:pPr>
            <w:r>
              <w:rPr>
                <w:rFonts w:ascii="Times New Roman" w:cs="Times New Roman" w:eastAsia="Times New Roman" w:hAnsi="Times New Roman"/>
                <w:sz w:val="14"/>
                <w:szCs w:val="14"/>
                <w:b w:val="1"/>
                <w:bCs w:val="1"/>
                <w:color w:val="auto"/>
              </w:rPr>
              <w:t>Street</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7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Same store NOI at share % increase (decrease)</w:t>
            </w:r>
          </w:p>
        </w:tc>
        <w:tc>
          <w:tcPr>
            <w:tcW w:w="8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Three months ended September 30, 2026 compared to September 30, 2025</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6"/>
        </w:trPr>
        <w:tc>
          <w:tcPr>
            <w:tcW w:w="6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Nine months ended September 30, 2026 compared to September 30, 2025</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8.4 %</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10.4 %</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91"/>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Same store NOI at share - cash basis % increase (decrease)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Three months ended September 30, 2026 compared to September 30, 2025</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16.3 %</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184"/>
        </w:trPr>
        <w:tc>
          <w:tcPr>
            <w:tcW w:w="65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Nine months ended September 30, 2026 compared to September 30, 2025</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____________________________</w:t>
      </w:r>
    </w:p>
    <w:p>
      <w:pPr>
        <w:spacing w:after="0" w:line="11" w:lineRule="exact"/>
        <w:rPr>
          <w:sz w:val="20"/>
          <w:szCs w:val="20"/>
          <w:color w:val="auto"/>
        </w:rPr>
      </w:pPr>
    </w:p>
    <w:p>
      <w:pPr>
        <w:ind w:left="320" w:hanging="314"/>
        <w:spacing w:after="0"/>
        <w:tabs>
          <w:tab w:leader="none" w:pos="32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Variance in same store NOI at share vs. same store NOI at share - cash basis is primarily due to GAAP rent commencing on new leases with free rent periods.</w:t>
      </w:r>
    </w:p>
    <w:p>
      <w:pPr>
        <w:spacing w:after="0" w:line="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Calculations of same store NOI at share, reconciliations of our net (loss) income to NOI at share, NOI at share - cash basis and FFO and the reasons we consider these non-GAAP financial measures useful are provided in the following pages of Management’s Discussion and Analysis of Financial Condition and 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Park Avenue Plaza</w:t>
      </w:r>
    </w:p>
    <w:p>
      <w:pPr>
        <w:spacing w:after="0" w:line="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June 11, 2026, we completed the purchase of a 49.0% interest in Park Avenue Plaza at a gross asset valuation of $1.1 billion ($950 per square foot). We acquired our interest subject to our share of the $575,000,000 loan encumbering the property, resulting in a cash purchase price of approximately $230,000,000, net of seller credits and inclusive of transaction costs. The loan bears interest at a fixed rate of 2.99% and matures in November 2031.</w:t>
      </w:r>
    </w:p>
    <w:p>
      <w:pPr>
        <w:spacing w:after="0" w:line="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Park Avenue Plaza is a 45-story, 1.2 million rentable square foot building located at 55 East 52nd Street. The office building, co-owned by Fisher Brothers, has protected Park Avenue views and occupies the full through-block between East 52nd and East 53rd Street.</w:t>
      </w:r>
    </w:p>
    <w:p>
      <w:pPr>
        <w:spacing w:after="0" w:line="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Fisher Brothers retains its current 51.0% ownership interest and continues to manage and lease the property. Vornado and Fisher Brothers have joint control over major decisions.</w:t>
      </w: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3 East 54th Street</w:t>
      </w:r>
    </w:p>
    <w:p>
      <w:pPr>
        <w:spacing w:after="0" w:line="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January 7, 2026, we acquired 3 East 54th Street, an asset situated on 18,400 square feet of land, for $141,000,000. Previously, in July 2025, we purchased the $35,000,000 A-Note secured by the property at par plus accrued interest, and in August 2024, we purchased the $50,000,000 B-Note secured by the property. The A-Note and B-Note were in default. The $107,000,000 loan balance, including default interest and advances, was credited towards the purchase price.</w:t>
      </w:r>
    </w:p>
    <w:p>
      <w:pPr>
        <w:spacing w:after="0" w:line="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3 East 54th Street is located between Fifth Avenue and Madison Avenue on 54th Street, adjacent to the St. Regis Hotel and our Upper Fifth Avenue retail properties. The land is zoned for approximately 232,500 buildable square feet as-of-right, and we are in the process of demolishing the existing buildings on the site.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Dispositions</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606 Broadway</w:t>
      </w:r>
    </w:p>
    <w:p>
      <w:pPr>
        <w:spacing w:after="0" w:line="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May 14, 2026, a 50.0% owned consolidated joint venture completed the sale of 606 Broadway. The purchaser acquired the non-recourse mortgage loan, which was in maturity default, at a discount and paid the joint venture $3,000,000 in cash ($2,400,000 to Vornado). The transaction resulted in a $32,073,000 gain on debt extinguishment, of which $15,932,000 is attributable to noncontrolling interests. The property was previously impaired in the fourth quarter of 2023, and had a carrying value of $52,073,000 as of the sale date.</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Alexander’s, Inc. (“Alexander’s”)</w:t>
      </w:r>
    </w:p>
    <w:p>
      <w:pPr>
        <w:spacing w:after="0" w:line="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May 28, 2026, Alexander’s, in which we own a 32.4% interest, completed the sale of its Rego Park I property for $235,500,000. As a result of the sale, we recognized our $44,329,000 share of the net gain and received a $2,355,000 sales commission paid by Alexander’s, of which $500,000 was paid to a third-party broker.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Overview - continued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Financings</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888 Seventh Avenue</w:t>
      </w:r>
    </w:p>
    <w:p>
      <w:pPr>
        <w:spacing w:after="0" w:line="26"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On December 10, 2025, the $244,543,000 non-recourse mortgage loan on 888 Seventh Avenue matured and was not repaid, at which time the lenders declared an event of default. On March 9, 2026, we entered into a forbearance agreement pursuant to which the lenders agreed to forbear from exercising their remedies and waived default interest through March 2027. During the forbearance period, regularly scheduled interest and required monthly amortization payments continue to accrue, but payment is deferred until the expiration or earlier termination of the forbearance period, at which time such amounts become due and payable.</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2031 Revolving Credit Facility</w:t>
      </w:r>
    </w:p>
    <w:p>
      <w:pPr>
        <w:spacing w:after="0" w:line="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January 7, 2026, we completed a $1.105 billion refinancing of one of our two revolving credit facilities. On February 4, 2026, the facility was upsized to $1.130 billion. The $1.130 billion amended facility currently bears interest at a rate of SOFR plus 1.01% and is scheduled to mature in February 2031 (as fully extended). The facility fee is 24 basis points. The facility replaced the previous $1.25 billion revolving credit facility which was scheduled to mature in December 2027.</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2029 Revolving Credit Facility</w:t>
      </w:r>
    </w:p>
    <w:p>
      <w:pPr>
        <w:spacing w:after="0" w:line="6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January 7, 2026, we upsized our $915,000,000 revolving credit facility that matures in April 2029 (as fully extended) to $1.0 billion. The credit facility currently bears interest at a rate of SOFR plus 1.16% and has a facility fee of 24 basis points.</w:t>
      </w: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Unsecured Term Loan</w:t>
      </w:r>
    </w:p>
    <w:p>
      <w:pPr>
        <w:spacing w:after="0" w:line="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January 7, 2026, we completed a refinancing of our unsecured term loan and upsized the loan amount to $850,000,000. The loan bears interest at SOFR plus 1.15% and matures in February 2031 (as fully extended). The loan replaced the previous $800,000,000 term loan which bore interest at SOFR plus 1.25% and was scheduled to mature in December 2027.</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Senior Unsecured Notes Due </w:t>
      </w:r>
      <w:r>
        <w:rPr>
          <w:rFonts w:ascii="Times New Roman" w:cs="Times New Roman" w:eastAsia="Times New Roman" w:hAnsi="Times New Roman"/>
          <w:sz w:val="18"/>
          <w:szCs w:val="18"/>
          <w:color w:val="auto"/>
        </w:rPr>
        <w:t>2033</w:t>
      </w:r>
    </w:p>
    <w:p>
      <w:pPr>
        <w:spacing w:after="0" w:line="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January 14, 2026, we completed a public offering of $500,000,000 5.75% senior unsecured notes due February 1, 2033 (“2033 Notes”). Interest on the senior unsecured notes is payable semi-annually on February 1 and August 1, commencing August 1, 2026. The 2033 Notes were sold at 99.824% of their face amount to yield 5.78%. A portion of the $494,000,000 net proceeds from the 2033 Notes was used to repay our $400,000,000 senior unsecured notes at their June 2026 maturity.</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7 West 34th Street</w:t>
      </w:r>
    </w:p>
    <w:p>
      <w:pPr>
        <w:spacing w:after="0" w:line="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January 23, 2026, a joint venture, in which we have a 53.0% interest, completed a $250,000,000 refinancing of 7 West 34th Street, a 477,000 square foot Manhattan office and retail building. The non-recourse, five-year interest-only mortgage loan matures in February 2031 and has a fixed rate of 5.79%. The joint venture paid down by $50,000,000 the prior $300,000,000 full-recourse loan that bore interest at 3.65% and was scheduled to mature in June 2026. The loan was paid down using property-level reserves and a $25,000,000 member loan from Vornado which accrues interest at 16.00% and receives priority on distributions.</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825 Seventh Avenue Office Condominium</w:t>
      </w:r>
    </w:p>
    <w:p>
      <w:pPr>
        <w:spacing w:after="0" w:line="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January 26, 2026, a joint venture, in which we have a 50.0% interest, entered into a nine-month extension with the lenders on the $54,000,000 mortgage loan encumbering the office condominium of 825 Seventh Avenue and simultaneously paid down the principal balance by $6,000,000 to $48,000,000. The loan was previously scheduled to mature in January 2026. On October 26, 2026, the $48,000,000 non-recourse mortgage loan matured and was not repaid, resulting in a maturity default. The interest-only loan bears interest at a rate of SOFR plus 2.75% and provides for additional default interest of 5.00%.</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One Park Avenue</w:t>
      </w:r>
    </w:p>
    <w:p>
      <w:pPr>
        <w:spacing w:after="0" w:line="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February 9, 2026, we completed a $525,000,000 refinancing of One Park Avenue, a 945,000 square foot Manhattan office building. The five-year interest-only loan matures in February 2031 and bears interest at a rate of SOFR plus 1.78%. The loan replaced the previous $525,000,000 loan that bore interest at SOFR plus 1.22% and was scheduled to mature in March 2026.</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350 Park Avenue</w:t>
      </w:r>
    </w:p>
    <w:p>
      <w:pPr>
        <w:spacing w:after="0" w:line="6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On March 10, 2026, an affiliate of Kenneth C. Griffin (“KG”) provided a $400,000,000 mortgage loan secured by 350 Park Avenue, the proceeds of which were used to defease the existing $400,000,000 mortgage loan in connection with the site’s development. The new interest-only loan bears interest at a fixed rate of 4.00% and matures in January 2027. Concurrently, and in connection with the planned development, Citadel Enterprise Americas LLC vacated the building and assigned its existing master lease to an affiliate of KG as tenant, and the lease was amended to provide for net rent of $16,000,000 per annum, equal to the interest payments under the new mortgage loan. On October 20, 2026, the $400,000,000 mortgage loan was satisfied at the closing of the 350 Park Avenue joint venture. See Note 20 –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further details.</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Sustainability Margin Adjustment</w:t>
      </w:r>
    </w:p>
    <w:p>
      <w:pPr>
        <w:spacing w:after="0" w:line="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April 2026, we qualified for a sustainability margin adjustment on our unsecured term loan and $1.130 billion revolving credit facility and re-qualified on our $1.0 billion revolving credit facility by achieving certain Key Performance Indicator (“KPI”) metrics, which reduced our interest rate by 0.05% for our term loan and 0.04% for our credit facilities.</w:t>
      </w:r>
    </w:p>
    <w:p>
      <w:pPr>
        <w:sectPr>
          <w:pgSz w:w="11900" w:h="16838" w:orient="portrait"/>
          <w:cols w:equalWidth="0" w:num="1">
            <w:col w:w="11240"/>
          </w:cols>
          <w:pgMar w:left="320" w:top="41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Overview - continued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Financings - continued</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61 Ninth Avenue</w:t>
      </w:r>
    </w:p>
    <w:p>
      <w:pPr>
        <w:spacing w:after="0" w:line="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May 8, 2026, a joint venture, in which we have a 45.1% interest, completed a $161,000,000 refinancing of 61 Ninth Avenue. The interest-only mortgage loan matures in June 2028, with a nine-month extension option subject to certain conditions, and bears interest at SOFR plus 3.00% in year one, SOFR plus 3.35% for year two, and SOFR plus 3.85% during the extension period. The refinancing replaced the joint venture’s prior $167,500,000 mortgage loan on the property. On February 2, 2026, the joint venture extended the prior loan’s maturity by seven months and simultaneously paid down the principal balance by $12,500,000 to $155,000,000.</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Senior Unsecured Notes Due </w:t>
      </w:r>
      <w:r>
        <w:rPr>
          <w:rFonts w:ascii="Times New Roman" w:cs="Times New Roman" w:eastAsia="Times New Roman" w:hAnsi="Times New Roman"/>
          <w:sz w:val="18"/>
          <w:szCs w:val="18"/>
          <w:color w:val="auto"/>
        </w:rPr>
        <w:t>2026</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repaid our $400,000,000 2.15% senior unsecured notes on their June 1, 2026 maturity date.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6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April 2026, our Board of Trustees authorized an additional $300,000,000 repurchase of our outstanding common shares under the share repurchase plan. As of September 30, 2026, $286,590,000 remained available and authorized for repurchases under the plan.</w:t>
      </w:r>
    </w:p>
    <w:p>
      <w:pPr>
        <w:spacing w:after="0" w:line="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the three months ended September 30, 2026, no shares were repurchased. During the nine months ended September 30, 2026, we repurchased 4,532,803 common shares for $133,305,000 at an average price of $29.41.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Overview - continued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Leasing Activity</w:t>
      </w:r>
    </w:p>
    <w:p>
      <w:pPr>
        <w:spacing w:after="0" w:line="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leasing activity and related statistics in the tables below are based on leases signed during the period and are not intended to coincide with the commencement of rental revenue in accordance with accounting principles generally accepted in the United States of America (“GAAP”). Second generation relet space represents square footage that has not been vacant for more than nine months and tenant improvements and leasing commissions are based on our share of square feet leased during the period.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(Square feet in thousands)</w:t>
            </w: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8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THE MART</w:t>
            </w: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555 California Street</w:t>
            </w:r>
          </w:p>
        </w:tc>
        <w:tc>
          <w:tcPr>
            <w:tcW w:w="0" w:type="dxa"/>
            <w:vAlign w:val="bottom"/>
          </w:tcPr>
          <w:p>
            <w:pPr>
              <w:spacing w:after="0"/>
              <w:rPr>
                <w:sz w:val="1"/>
                <w:szCs w:val="1"/>
                <w:color w:val="auto"/>
              </w:rPr>
            </w:pPr>
          </w:p>
        </w:tc>
      </w:tr>
      <w:tr>
        <w:trPr>
          <w:trHeight w:val="185"/>
        </w:trPr>
        <w:tc>
          <w:tcPr>
            <w:tcW w:w="42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6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4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square feet leased</w:t>
            </w: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489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91"/>
        </w:trPr>
        <w:tc>
          <w:tcPr>
            <w:tcW w:w="4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Our share of square feet leased:</w:t>
            </w: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443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6"/>
        </w:trPr>
        <w:tc>
          <w:tcPr>
            <w:tcW w:w="4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Initial rent</w:t>
            </w:r>
            <w:r>
              <w:rPr>
                <w:rFonts w:ascii="Times New Roman" w:cs="Times New Roman" w:eastAsia="Times New Roman" w:hAnsi="Times New Roman"/>
                <w:sz w:val="18"/>
                <w:szCs w:val="18"/>
                <w:b w:val="1"/>
                <w:bCs w:val="1"/>
                <w:color w:val="auto"/>
                <w:vertAlign w:val="superscript"/>
              </w:rPr>
              <w:t>(1)</w:t>
            </w:r>
          </w:p>
        </w:tc>
        <w:tc>
          <w:tcPr>
            <w:tcW w:w="1080" w:type="dxa"/>
            <w:vAlign w:val="bottom"/>
            <w:gridSpan w:val="2"/>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122.96</w:t>
            </w:r>
          </w:p>
        </w:tc>
        <w:tc>
          <w:tcPr>
            <w:tcW w:w="58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496.83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63.50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163.18</w:t>
            </w:r>
          </w:p>
        </w:tc>
        <w:tc>
          <w:tcPr>
            <w:tcW w:w="0" w:type="dxa"/>
            <w:vAlign w:val="bottom"/>
          </w:tcPr>
          <w:p>
            <w:pPr>
              <w:spacing w:after="0"/>
              <w:rPr>
                <w:sz w:val="1"/>
                <w:szCs w:val="1"/>
                <w:color w:val="auto"/>
              </w:rPr>
            </w:pPr>
          </w:p>
        </w:tc>
      </w:tr>
      <w:tr>
        <w:trPr>
          <w:trHeight w:val="191"/>
        </w:trPr>
        <w:tc>
          <w:tcPr>
            <w:tcW w:w="4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Weighted average lease term (years)</w:t>
            </w: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06"/>
        </w:trPr>
        <w:tc>
          <w:tcPr>
            <w:tcW w:w="4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Second generation relet space:</w:t>
            </w: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2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Square feet</w:t>
            </w: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283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6"/>
        </w:trPr>
        <w:tc>
          <w:tcPr>
            <w:tcW w:w="4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GAAP basis:</w:t>
            </w: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00" w:type="dxa"/>
            <w:vAlign w:val="bottom"/>
          </w:tcPr>
          <w:p>
            <w:pPr>
              <w:ind w:left="900"/>
              <w:spacing w:after="0" w:line="199" w:lineRule="exact"/>
              <w:rPr>
                <w:sz w:val="20"/>
                <w:szCs w:val="20"/>
                <w:color w:val="auto"/>
              </w:rPr>
            </w:pPr>
            <w:r>
              <w:rPr>
                <w:rFonts w:ascii="Times New Roman" w:cs="Times New Roman" w:eastAsia="Times New Roman" w:hAnsi="Times New Roman"/>
                <w:sz w:val="14"/>
                <w:szCs w:val="14"/>
                <w:color w:val="auto"/>
              </w:rPr>
              <w:t>Straight-line rent</w:t>
            </w:r>
            <w:r>
              <w:rPr>
                <w:rFonts w:ascii="Times New Roman" w:cs="Times New Roman" w:eastAsia="Times New Roman" w:hAnsi="Times New Roman"/>
                <w:sz w:val="18"/>
                <w:szCs w:val="18"/>
                <w:b w:val="1"/>
                <w:bCs w:val="1"/>
                <w:color w:val="auto"/>
                <w:vertAlign w:val="superscript"/>
              </w:rPr>
              <w:t>(2)</w:t>
            </w:r>
          </w:p>
        </w:tc>
        <w:tc>
          <w:tcPr>
            <w:tcW w:w="1080" w:type="dxa"/>
            <w:vAlign w:val="bottom"/>
            <w:gridSpan w:val="2"/>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116.95</w:t>
            </w:r>
          </w:p>
        </w:tc>
        <w:tc>
          <w:tcPr>
            <w:tcW w:w="58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644.96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61.53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179.47</w:t>
            </w:r>
          </w:p>
        </w:tc>
        <w:tc>
          <w:tcPr>
            <w:tcW w:w="0" w:type="dxa"/>
            <w:vAlign w:val="bottom"/>
          </w:tcPr>
          <w:p>
            <w:pPr>
              <w:spacing w:after="0"/>
              <w:rPr>
                <w:sz w:val="1"/>
                <w:szCs w:val="1"/>
                <w:color w:val="auto"/>
              </w:rPr>
            </w:pPr>
          </w:p>
        </w:tc>
      </w:tr>
      <w:tr>
        <w:trPr>
          <w:trHeight w:val="199"/>
        </w:trPr>
        <w:tc>
          <w:tcPr>
            <w:tcW w:w="42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Prior straight-line rent</w:t>
            </w:r>
          </w:p>
        </w:tc>
        <w:tc>
          <w:tcPr>
            <w:tcW w:w="1080" w:type="dxa"/>
            <w:vAlign w:val="bottom"/>
            <w:gridSpan w:val="2"/>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85.25</w:t>
            </w:r>
          </w:p>
        </w:tc>
        <w:tc>
          <w:tcPr>
            <w:tcW w:w="58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617.21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54.63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112.91</w:t>
            </w:r>
          </w:p>
        </w:tc>
        <w:tc>
          <w:tcPr>
            <w:tcW w:w="0" w:type="dxa"/>
            <w:vAlign w:val="bottom"/>
          </w:tcPr>
          <w:p>
            <w:pPr>
              <w:spacing w:after="0"/>
              <w:rPr>
                <w:sz w:val="1"/>
                <w:szCs w:val="1"/>
                <w:color w:val="auto"/>
              </w:rPr>
            </w:pPr>
          </w:p>
        </w:tc>
      </w:tr>
      <w:tr>
        <w:trPr>
          <w:trHeight w:val="191"/>
        </w:trPr>
        <w:tc>
          <w:tcPr>
            <w:tcW w:w="4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Percentage increase</w:t>
            </w: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59.0 %</w:t>
            </w:r>
          </w:p>
        </w:tc>
        <w:tc>
          <w:tcPr>
            <w:tcW w:w="0" w:type="dxa"/>
            <w:vAlign w:val="bottom"/>
          </w:tcPr>
          <w:p>
            <w:pPr>
              <w:spacing w:after="0"/>
              <w:rPr>
                <w:sz w:val="1"/>
                <w:szCs w:val="1"/>
                <w:color w:val="auto"/>
              </w:rPr>
            </w:pPr>
          </w:p>
        </w:tc>
      </w:tr>
      <w:tr>
        <w:trPr>
          <w:trHeight w:val="206"/>
        </w:trPr>
        <w:tc>
          <w:tcPr>
            <w:tcW w:w="4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Cash basis (non-GAAP):</w:t>
            </w: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00" w:type="dxa"/>
            <w:vAlign w:val="bottom"/>
          </w:tcPr>
          <w:p>
            <w:pPr>
              <w:ind w:left="900"/>
              <w:spacing w:after="0" w:line="199" w:lineRule="exact"/>
              <w:rPr>
                <w:sz w:val="20"/>
                <w:szCs w:val="20"/>
                <w:color w:val="auto"/>
              </w:rPr>
            </w:pPr>
            <w:r>
              <w:rPr>
                <w:rFonts w:ascii="Times New Roman" w:cs="Times New Roman" w:eastAsia="Times New Roman" w:hAnsi="Times New Roman"/>
                <w:sz w:val="14"/>
                <w:szCs w:val="14"/>
                <w:color w:val="auto"/>
              </w:rPr>
              <w:t>Initial rent</w:t>
            </w:r>
            <w:r>
              <w:rPr>
                <w:rFonts w:ascii="Times New Roman" w:cs="Times New Roman" w:eastAsia="Times New Roman" w:hAnsi="Times New Roman"/>
                <w:sz w:val="18"/>
                <w:szCs w:val="18"/>
                <w:b w:val="1"/>
                <w:bCs w:val="1"/>
                <w:color w:val="auto"/>
                <w:vertAlign w:val="superscript"/>
              </w:rPr>
              <w:t>(1)</w:t>
            </w:r>
          </w:p>
        </w:tc>
        <w:tc>
          <w:tcPr>
            <w:tcW w:w="1080" w:type="dxa"/>
            <w:vAlign w:val="bottom"/>
            <w:gridSpan w:val="2"/>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119.90</w:t>
            </w:r>
          </w:p>
        </w:tc>
        <w:tc>
          <w:tcPr>
            <w:tcW w:w="58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641.47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62.94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163.18</w:t>
            </w:r>
          </w:p>
        </w:tc>
        <w:tc>
          <w:tcPr>
            <w:tcW w:w="0" w:type="dxa"/>
            <w:vAlign w:val="bottom"/>
          </w:tcPr>
          <w:p>
            <w:pPr>
              <w:spacing w:after="0"/>
              <w:rPr>
                <w:sz w:val="1"/>
                <w:szCs w:val="1"/>
                <w:color w:val="auto"/>
              </w:rPr>
            </w:pPr>
          </w:p>
        </w:tc>
      </w:tr>
      <w:tr>
        <w:trPr>
          <w:trHeight w:val="199"/>
        </w:trPr>
        <w:tc>
          <w:tcPr>
            <w:tcW w:w="42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Prior escalated rent</w:t>
            </w:r>
          </w:p>
        </w:tc>
        <w:tc>
          <w:tcPr>
            <w:tcW w:w="1080" w:type="dxa"/>
            <w:vAlign w:val="bottom"/>
            <w:gridSpan w:val="2"/>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95.25</w:t>
            </w:r>
          </w:p>
        </w:tc>
        <w:tc>
          <w:tcPr>
            <w:tcW w:w="58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760.91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58.45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118.21</w:t>
            </w:r>
          </w:p>
        </w:tc>
        <w:tc>
          <w:tcPr>
            <w:tcW w:w="0" w:type="dxa"/>
            <w:vAlign w:val="bottom"/>
          </w:tcPr>
          <w:p>
            <w:pPr>
              <w:spacing w:after="0"/>
              <w:rPr>
                <w:sz w:val="1"/>
                <w:szCs w:val="1"/>
                <w:color w:val="auto"/>
              </w:rPr>
            </w:pPr>
          </w:p>
        </w:tc>
      </w:tr>
      <w:tr>
        <w:trPr>
          <w:trHeight w:val="191"/>
        </w:trPr>
        <w:tc>
          <w:tcPr>
            <w:tcW w:w="4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Percentage increase (decrease)</w:t>
            </w: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38.0 %</w:t>
            </w:r>
          </w:p>
        </w:tc>
        <w:tc>
          <w:tcPr>
            <w:tcW w:w="0" w:type="dxa"/>
            <w:vAlign w:val="bottom"/>
          </w:tcPr>
          <w:p>
            <w:pPr>
              <w:spacing w:after="0"/>
              <w:rPr>
                <w:sz w:val="1"/>
                <w:szCs w:val="1"/>
                <w:color w:val="auto"/>
              </w:rPr>
            </w:pPr>
          </w:p>
        </w:tc>
      </w:tr>
      <w:tr>
        <w:trPr>
          <w:trHeight w:val="206"/>
        </w:trPr>
        <w:tc>
          <w:tcPr>
            <w:tcW w:w="4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Tenant improvements and leasing commissions:</w:t>
            </w: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2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Per square foot</w:t>
            </w:r>
          </w:p>
        </w:tc>
        <w:tc>
          <w:tcPr>
            <w:tcW w:w="1080" w:type="dxa"/>
            <w:vAlign w:val="bottom"/>
            <w:gridSpan w:val="2"/>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139.83</w:t>
            </w:r>
          </w:p>
        </w:tc>
        <w:tc>
          <w:tcPr>
            <w:tcW w:w="58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191.23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51.69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182.00</w:t>
            </w:r>
          </w:p>
        </w:tc>
        <w:tc>
          <w:tcPr>
            <w:tcW w:w="0" w:type="dxa"/>
            <w:vAlign w:val="bottom"/>
          </w:tcPr>
          <w:p>
            <w:pPr>
              <w:spacing w:after="0"/>
              <w:rPr>
                <w:sz w:val="1"/>
                <w:szCs w:val="1"/>
                <w:color w:val="auto"/>
              </w:rPr>
            </w:pPr>
          </w:p>
        </w:tc>
      </w:tr>
      <w:tr>
        <w:trPr>
          <w:trHeight w:val="206"/>
        </w:trPr>
        <w:tc>
          <w:tcPr>
            <w:tcW w:w="4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Per square foot per annum</w:t>
            </w:r>
          </w:p>
        </w:tc>
        <w:tc>
          <w:tcPr>
            <w:tcW w:w="1080" w:type="dxa"/>
            <w:vAlign w:val="bottom"/>
            <w:gridSpan w:val="2"/>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14.72</w:t>
            </w:r>
          </w:p>
        </w:tc>
        <w:tc>
          <w:tcPr>
            <w:tcW w:w="58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26.93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9.23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16.85</w:t>
            </w:r>
          </w:p>
        </w:tc>
        <w:tc>
          <w:tcPr>
            <w:tcW w:w="0" w:type="dxa"/>
            <w:vAlign w:val="bottom"/>
          </w:tcPr>
          <w:p>
            <w:pPr>
              <w:spacing w:after="0"/>
              <w:rPr>
                <w:sz w:val="1"/>
                <w:szCs w:val="1"/>
                <w:color w:val="auto"/>
              </w:rPr>
            </w:pPr>
          </w:p>
        </w:tc>
      </w:tr>
      <w:tr>
        <w:trPr>
          <w:trHeight w:val="184"/>
        </w:trPr>
        <w:tc>
          <w:tcPr>
            <w:tcW w:w="4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Percentage of initial rent</w:t>
            </w: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0" w:type="dxa"/>
            <w:vAlign w:val="bottom"/>
          </w:tcPr>
          <w:p>
            <w:pPr>
              <w:spacing w:after="0"/>
              <w:rPr>
                <w:sz w:val="1"/>
                <w:szCs w:val="1"/>
                <w:color w:val="auto"/>
              </w:rPr>
            </w:pPr>
          </w:p>
        </w:tc>
      </w:tr>
      <w:tr>
        <w:trPr>
          <w:trHeight w:val="204"/>
        </w:trPr>
        <w:tc>
          <w:tcPr>
            <w:tcW w:w="4200" w:type="dxa"/>
            <w:vAlign w:val="bottom"/>
          </w:tcPr>
          <w:p>
            <w:pPr>
              <w:spacing w:after="0"/>
              <w:rPr>
                <w:sz w:val="20"/>
                <w:szCs w:val="20"/>
                <w:color w:val="auto"/>
              </w:rPr>
            </w:pPr>
            <w:r>
              <w:rPr>
                <w:rFonts w:ascii="Times New Roman" w:cs="Times New Roman" w:eastAsia="Times New Roman" w:hAnsi="Times New Roman"/>
                <w:sz w:val="9"/>
                <w:szCs w:val="9"/>
                <w:color w:val="auto"/>
              </w:rPr>
              <w:t>_______________________________</w:t>
            </w: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See notes below.</w:t>
            </w: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(Square feet in thousands)</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THE MART</w:t>
            </w: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555 California Street</w:t>
            </w:r>
          </w:p>
        </w:tc>
        <w:tc>
          <w:tcPr>
            <w:tcW w:w="0" w:type="dxa"/>
            <w:vAlign w:val="bottom"/>
          </w:tcPr>
          <w:p>
            <w:pPr>
              <w:spacing w:after="0"/>
              <w:rPr>
                <w:sz w:val="1"/>
                <w:szCs w:val="1"/>
                <w:color w:val="auto"/>
              </w:rPr>
            </w:pPr>
          </w:p>
        </w:tc>
      </w:tr>
      <w:tr>
        <w:trPr>
          <w:trHeight w:val="185"/>
        </w:trPr>
        <w:tc>
          <w:tcPr>
            <w:tcW w:w="4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6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00" w:type="dxa"/>
            <w:vAlign w:val="bottom"/>
            <w:gridSpan w:val="2"/>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4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square feet leased</w:t>
            </w: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1,148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91"/>
        </w:trPr>
        <w:tc>
          <w:tcPr>
            <w:tcW w:w="4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Our share of square feet leased:</w:t>
            </w: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993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06"/>
        </w:trPr>
        <w:tc>
          <w:tcPr>
            <w:tcW w:w="4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Initial rent</w:t>
            </w:r>
            <w:r>
              <w:rPr>
                <w:rFonts w:ascii="Times New Roman" w:cs="Times New Roman" w:eastAsia="Times New Roman" w:hAnsi="Times New Roman"/>
                <w:sz w:val="18"/>
                <w:szCs w:val="18"/>
                <w:b w:val="1"/>
                <w:bCs w:val="1"/>
                <w:color w:val="auto"/>
                <w:vertAlign w:val="superscript"/>
              </w:rPr>
              <w:t>(1)</w:t>
            </w:r>
          </w:p>
        </w:tc>
        <w:tc>
          <w:tcPr>
            <w:tcW w:w="1080" w:type="dxa"/>
            <w:vAlign w:val="bottom"/>
            <w:gridSpan w:val="2"/>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113.09</w:t>
            </w:r>
          </w:p>
        </w:tc>
        <w:tc>
          <w:tcPr>
            <w:tcW w:w="58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402.59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58.08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148.50</w:t>
            </w:r>
          </w:p>
        </w:tc>
        <w:tc>
          <w:tcPr>
            <w:tcW w:w="0" w:type="dxa"/>
            <w:vAlign w:val="bottom"/>
          </w:tcPr>
          <w:p>
            <w:pPr>
              <w:spacing w:after="0"/>
              <w:rPr>
                <w:sz w:val="1"/>
                <w:szCs w:val="1"/>
                <w:color w:val="auto"/>
              </w:rPr>
            </w:pPr>
          </w:p>
        </w:tc>
      </w:tr>
      <w:tr>
        <w:trPr>
          <w:trHeight w:val="191"/>
        </w:trPr>
        <w:tc>
          <w:tcPr>
            <w:tcW w:w="4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Weighted average lease term (years)</w:t>
            </w: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06"/>
        </w:trPr>
        <w:tc>
          <w:tcPr>
            <w:tcW w:w="4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Second generation relet space:</w:t>
            </w: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2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Square feet</w:t>
            </w: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547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06"/>
        </w:trPr>
        <w:tc>
          <w:tcPr>
            <w:tcW w:w="4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GAAP basis:</w:t>
            </w: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00" w:type="dxa"/>
            <w:vAlign w:val="bottom"/>
          </w:tcPr>
          <w:p>
            <w:pPr>
              <w:ind w:left="900"/>
              <w:spacing w:after="0" w:line="199" w:lineRule="exact"/>
              <w:rPr>
                <w:sz w:val="20"/>
                <w:szCs w:val="20"/>
                <w:color w:val="auto"/>
              </w:rPr>
            </w:pPr>
            <w:r>
              <w:rPr>
                <w:rFonts w:ascii="Times New Roman" w:cs="Times New Roman" w:eastAsia="Times New Roman" w:hAnsi="Times New Roman"/>
                <w:sz w:val="14"/>
                <w:szCs w:val="14"/>
                <w:color w:val="auto"/>
              </w:rPr>
              <w:t>Straight-line rent</w:t>
            </w:r>
            <w:r>
              <w:rPr>
                <w:rFonts w:ascii="Times New Roman" w:cs="Times New Roman" w:eastAsia="Times New Roman" w:hAnsi="Times New Roman"/>
                <w:sz w:val="18"/>
                <w:szCs w:val="18"/>
                <w:b w:val="1"/>
                <w:bCs w:val="1"/>
                <w:color w:val="auto"/>
                <w:vertAlign w:val="superscript"/>
              </w:rPr>
              <w:t>(2)</w:t>
            </w:r>
          </w:p>
        </w:tc>
        <w:tc>
          <w:tcPr>
            <w:tcW w:w="1080" w:type="dxa"/>
            <w:vAlign w:val="bottom"/>
            <w:gridSpan w:val="2"/>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107.36</w:t>
            </w:r>
          </w:p>
        </w:tc>
        <w:tc>
          <w:tcPr>
            <w:tcW w:w="58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419.40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62.44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165.04</w:t>
            </w:r>
          </w:p>
        </w:tc>
        <w:tc>
          <w:tcPr>
            <w:tcW w:w="0" w:type="dxa"/>
            <w:vAlign w:val="bottom"/>
          </w:tcPr>
          <w:p>
            <w:pPr>
              <w:spacing w:after="0"/>
              <w:rPr>
                <w:sz w:val="1"/>
                <w:szCs w:val="1"/>
                <w:color w:val="auto"/>
              </w:rPr>
            </w:pPr>
          </w:p>
        </w:tc>
      </w:tr>
      <w:tr>
        <w:trPr>
          <w:trHeight w:val="199"/>
        </w:trPr>
        <w:tc>
          <w:tcPr>
            <w:tcW w:w="42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Prior straight-line rent</w:t>
            </w:r>
          </w:p>
        </w:tc>
        <w:tc>
          <w:tcPr>
            <w:tcW w:w="1080" w:type="dxa"/>
            <w:vAlign w:val="bottom"/>
            <w:gridSpan w:val="2"/>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86.90</w:t>
            </w:r>
          </w:p>
        </w:tc>
        <w:tc>
          <w:tcPr>
            <w:tcW w:w="58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384.23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56.06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119.06</w:t>
            </w:r>
          </w:p>
        </w:tc>
        <w:tc>
          <w:tcPr>
            <w:tcW w:w="0" w:type="dxa"/>
            <w:vAlign w:val="bottom"/>
          </w:tcPr>
          <w:p>
            <w:pPr>
              <w:spacing w:after="0"/>
              <w:rPr>
                <w:sz w:val="1"/>
                <w:szCs w:val="1"/>
                <w:color w:val="auto"/>
              </w:rPr>
            </w:pPr>
          </w:p>
        </w:tc>
      </w:tr>
      <w:tr>
        <w:trPr>
          <w:trHeight w:val="191"/>
        </w:trPr>
        <w:tc>
          <w:tcPr>
            <w:tcW w:w="4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Percentage increase</w:t>
            </w: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38.6 %</w:t>
            </w:r>
          </w:p>
        </w:tc>
        <w:tc>
          <w:tcPr>
            <w:tcW w:w="0" w:type="dxa"/>
            <w:vAlign w:val="bottom"/>
          </w:tcPr>
          <w:p>
            <w:pPr>
              <w:spacing w:after="0"/>
              <w:rPr>
                <w:sz w:val="1"/>
                <w:szCs w:val="1"/>
                <w:color w:val="auto"/>
              </w:rPr>
            </w:pPr>
          </w:p>
        </w:tc>
      </w:tr>
      <w:tr>
        <w:trPr>
          <w:trHeight w:val="206"/>
        </w:trPr>
        <w:tc>
          <w:tcPr>
            <w:tcW w:w="4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Cash basis (non-GAAP):</w:t>
            </w: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00" w:type="dxa"/>
            <w:vAlign w:val="bottom"/>
          </w:tcPr>
          <w:p>
            <w:pPr>
              <w:ind w:left="900"/>
              <w:spacing w:after="0" w:line="199" w:lineRule="exact"/>
              <w:rPr>
                <w:sz w:val="20"/>
                <w:szCs w:val="20"/>
                <w:color w:val="auto"/>
              </w:rPr>
            </w:pPr>
            <w:r>
              <w:rPr>
                <w:rFonts w:ascii="Times New Roman" w:cs="Times New Roman" w:eastAsia="Times New Roman" w:hAnsi="Times New Roman"/>
                <w:sz w:val="14"/>
                <w:szCs w:val="14"/>
                <w:color w:val="auto"/>
              </w:rPr>
              <w:t>Initial rent</w:t>
            </w:r>
            <w:r>
              <w:rPr>
                <w:rFonts w:ascii="Times New Roman" w:cs="Times New Roman" w:eastAsia="Times New Roman" w:hAnsi="Times New Roman"/>
                <w:sz w:val="18"/>
                <w:szCs w:val="18"/>
                <w:b w:val="1"/>
                <w:bCs w:val="1"/>
                <w:color w:val="auto"/>
                <w:vertAlign w:val="superscript"/>
              </w:rPr>
              <w:t>(1)</w:t>
            </w:r>
          </w:p>
        </w:tc>
        <w:tc>
          <w:tcPr>
            <w:tcW w:w="1080" w:type="dxa"/>
            <w:vAlign w:val="bottom"/>
            <w:gridSpan w:val="2"/>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111.15</w:t>
            </w:r>
          </w:p>
        </w:tc>
        <w:tc>
          <w:tcPr>
            <w:tcW w:w="58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416.86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63.44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162.98</w:t>
            </w:r>
          </w:p>
        </w:tc>
        <w:tc>
          <w:tcPr>
            <w:tcW w:w="0" w:type="dxa"/>
            <w:vAlign w:val="bottom"/>
          </w:tcPr>
          <w:p>
            <w:pPr>
              <w:spacing w:after="0"/>
              <w:rPr>
                <w:sz w:val="1"/>
                <w:szCs w:val="1"/>
                <w:color w:val="auto"/>
              </w:rPr>
            </w:pPr>
          </w:p>
        </w:tc>
      </w:tr>
      <w:tr>
        <w:trPr>
          <w:trHeight w:val="199"/>
        </w:trPr>
        <w:tc>
          <w:tcPr>
            <w:tcW w:w="42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Prior escalated rent</w:t>
            </w:r>
          </w:p>
        </w:tc>
        <w:tc>
          <w:tcPr>
            <w:tcW w:w="1080" w:type="dxa"/>
            <w:vAlign w:val="bottom"/>
            <w:gridSpan w:val="2"/>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95.14</w:t>
            </w:r>
          </w:p>
        </w:tc>
        <w:tc>
          <w:tcPr>
            <w:tcW w:w="58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448.73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60.94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128.30</w:t>
            </w:r>
          </w:p>
        </w:tc>
        <w:tc>
          <w:tcPr>
            <w:tcW w:w="0" w:type="dxa"/>
            <w:vAlign w:val="bottom"/>
          </w:tcPr>
          <w:p>
            <w:pPr>
              <w:spacing w:after="0"/>
              <w:rPr>
                <w:sz w:val="1"/>
                <w:szCs w:val="1"/>
                <w:color w:val="auto"/>
              </w:rPr>
            </w:pPr>
          </w:p>
        </w:tc>
      </w:tr>
      <w:tr>
        <w:trPr>
          <w:trHeight w:val="191"/>
        </w:trPr>
        <w:tc>
          <w:tcPr>
            <w:tcW w:w="4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Percentage increase (decrease)</w:t>
            </w: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27.0 %</w:t>
            </w:r>
          </w:p>
        </w:tc>
        <w:tc>
          <w:tcPr>
            <w:tcW w:w="0" w:type="dxa"/>
            <w:vAlign w:val="bottom"/>
          </w:tcPr>
          <w:p>
            <w:pPr>
              <w:spacing w:after="0"/>
              <w:rPr>
                <w:sz w:val="1"/>
                <w:szCs w:val="1"/>
                <w:color w:val="auto"/>
              </w:rPr>
            </w:pPr>
          </w:p>
        </w:tc>
      </w:tr>
      <w:tr>
        <w:trPr>
          <w:trHeight w:val="206"/>
        </w:trPr>
        <w:tc>
          <w:tcPr>
            <w:tcW w:w="4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Tenant improvements and leasing commissions:</w:t>
            </w: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2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Per square foot</w:t>
            </w:r>
          </w:p>
        </w:tc>
        <w:tc>
          <w:tcPr>
            <w:tcW w:w="1080" w:type="dxa"/>
            <w:vAlign w:val="bottom"/>
            <w:gridSpan w:val="2"/>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132.02</w:t>
            </w:r>
          </w:p>
        </w:tc>
        <w:tc>
          <w:tcPr>
            <w:tcW w:w="58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109.17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78.54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166.95</w:t>
            </w:r>
          </w:p>
        </w:tc>
        <w:tc>
          <w:tcPr>
            <w:tcW w:w="0" w:type="dxa"/>
            <w:vAlign w:val="bottom"/>
          </w:tcPr>
          <w:p>
            <w:pPr>
              <w:spacing w:after="0"/>
              <w:rPr>
                <w:sz w:val="1"/>
                <w:szCs w:val="1"/>
                <w:color w:val="auto"/>
              </w:rPr>
            </w:pPr>
          </w:p>
        </w:tc>
      </w:tr>
      <w:tr>
        <w:trPr>
          <w:trHeight w:val="206"/>
        </w:trPr>
        <w:tc>
          <w:tcPr>
            <w:tcW w:w="4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Per square foot per annum</w:t>
            </w:r>
          </w:p>
        </w:tc>
        <w:tc>
          <w:tcPr>
            <w:tcW w:w="1080" w:type="dxa"/>
            <w:vAlign w:val="bottom"/>
            <w:gridSpan w:val="2"/>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14.83</w:t>
            </w:r>
          </w:p>
        </w:tc>
        <w:tc>
          <w:tcPr>
            <w:tcW w:w="58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19.49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12.08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17.95</w:t>
            </w:r>
          </w:p>
        </w:tc>
        <w:tc>
          <w:tcPr>
            <w:tcW w:w="0" w:type="dxa"/>
            <w:vAlign w:val="bottom"/>
          </w:tcPr>
          <w:p>
            <w:pPr>
              <w:spacing w:after="0"/>
              <w:rPr>
                <w:sz w:val="1"/>
                <w:szCs w:val="1"/>
                <w:color w:val="auto"/>
              </w:rPr>
            </w:pPr>
          </w:p>
        </w:tc>
      </w:tr>
      <w:tr>
        <w:trPr>
          <w:trHeight w:val="184"/>
        </w:trPr>
        <w:tc>
          <w:tcPr>
            <w:tcW w:w="42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Percentage of initial rent</w:t>
            </w: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12.1 %</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_______________________________</w:t>
      </w:r>
    </w:p>
    <w:p>
      <w:pPr>
        <w:spacing w:after="0" w:line="42" w:lineRule="exact"/>
        <w:rPr>
          <w:sz w:val="20"/>
          <w:szCs w:val="20"/>
          <w:color w:val="auto"/>
        </w:rPr>
      </w:pPr>
    </w:p>
    <w:p>
      <w:pPr>
        <w:ind w:left="320" w:hanging="314"/>
        <w:spacing w:after="0" w:line="265" w:lineRule="auto"/>
        <w:tabs>
          <w:tab w:leader="none" w:pos="312"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the cash basis weighted average starting rent per square foot, which is generally indicative of market rents. Most leases include free rent and periodic step-ups in rent which are not included in the initial cash basis rent per square foot but are included in the GAAP basis straight-line rent per square foot.</w:t>
      </w:r>
    </w:p>
    <w:p>
      <w:pPr>
        <w:ind w:left="320" w:hanging="314"/>
        <w:spacing w:after="0"/>
        <w:tabs>
          <w:tab w:leader="none" w:pos="320"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the GAAP basis weighted average rent per square foot that is recognized over the term of the respective leases and includes the effect of free rent and periodic step-ups in 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Overview - continued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Square Footage (in service) and Occupancy as of September 30, 2026</w:t>
      </w:r>
      <w:r>
        <w:rPr>
          <w:rFonts w:ascii="Times New Roman" w:cs="Times New Roman" w:eastAsia="Times New Roman" w:hAnsi="Times New Roman"/>
          <w:sz w:val="22"/>
          <w:szCs w:val="22"/>
          <w:b w:val="1"/>
          <w:bCs w:val="1"/>
          <w:color w:val="auto"/>
          <w:vertAlign w:val="superscript"/>
        </w:rPr>
        <w:t>(1)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(Square feet in thousands)</w:t>
            </w: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3"/>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Square Feet (in service)</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0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2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52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440" w:type="dxa"/>
            <w:vAlign w:val="bottom"/>
          </w:tcPr>
          <w:p>
            <w:pPr>
              <w:jc w:val="right"/>
              <w:ind w:right="529"/>
              <w:spacing w:after="0" w:line="126" w:lineRule="exact"/>
              <w:rPr>
                <w:sz w:val="20"/>
                <w:szCs w:val="20"/>
                <w:color w:val="auto"/>
              </w:rPr>
            </w:pPr>
            <w:r>
              <w:rPr>
                <w:rFonts w:ascii="Times New Roman" w:cs="Times New Roman" w:eastAsia="Times New Roman" w:hAnsi="Times New Roman"/>
                <w:sz w:val="14"/>
                <w:szCs w:val="14"/>
                <w:b w:val="1"/>
                <w:bCs w:val="1"/>
                <w:color w:val="auto"/>
              </w:rPr>
              <w:t>Our</w:t>
            </w:r>
          </w:p>
        </w:tc>
        <w:tc>
          <w:tcPr>
            <w:tcW w:w="100" w:type="dxa"/>
            <w:vAlign w:val="bottom"/>
          </w:tcPr>
          <w:p>
            <w:pPr>
              <w:spacing w:after="0"/>
              <w:rPr>
                <w:sz w:val="10"/>
                <w:szCs w:val="10"/>
                <w:color w:val="auto"/>
              </w:rPr>
            </w:pPr>
          </w:p>
        </w:tc>
        <w:tc>
          <w:tcPr>
            <w:tcW w:w="12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Occupancy %</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06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32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4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1060" w:type="dxa"/>
            <w:vAlign w:val="bottom"/>
            <w:tcBorders>
              <w:top w:val="single" w:sz="8" w:color="auto"/>
            </w:tcBorders>
          </w:tcPr>
          <w:p>
            <w:pPr>
              <w:spacing w:after="0"/>
              <w:rPr>
                <w:sz w:val="14"/>
                <w:szCs w:val="14"/>
                <w:color w:val="auto"/>
              </w:rPr>
            </w:pPr>
          </w:p>
        </w:tc>
        <w:tc>
          <w:tcPr>
            <w:tcW w:w="320" w:type="dxa"/>
            <w:vAlign w:val="bottom"/>
            <w:vMerge w:val="restart"/>
          </w:tcPr>
          <w:p>
            <w:pPr>
              <w:jc w:val="right"/>
              <w:ind w:right="74"/>
              <w:spacing w:after="0"/>
              <w:rPr>
                <w:sz w:val="20"/>
                <w:szCs w:val="20"/>
                <w:color w:val="auto"/>
              </w:rPr>
            </w:pPr>
            <w:r>
              <w:rPr>
                <w:rFonts w:ascii="Times New Roman" w:cs="Times New Roman" w:eastAsia="Times New Roman" w:hAnsi="Times New Roman"/>
                <w:sz w:val="9"/>
                <w:szCs w:val="9"/>
                <w:b w:val="1"/>
                <w:bCs w:val="1"/>
                <w:color w:val="auto"/>
              </w:rPr>
              <w:t>(2)</w:t>
            </w:r>
          </w:p>
        </w:tc>
        <w:tc>
          <w:tcPr>
            <w:tcW w:w="1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52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Office</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320" w:type="dxa"/>
            <w:vAlign w:val="bottom"/>
            <w:vMerge w:val="continue"/>
          </w:tcPr>
          <w:p>
            <w:pPr>
              <w:spacing w:after="0"/>
              <w:rPr>
                <w:sz w:val="9"/>
                <w:szCs w:val="9"/>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19,790</w:t>
            </w:r>
          </w:p>
        </w:tc>
        <w:tc>
          <w:tcPr>
            <w:tcW w:w="100" w:type="dxa"/>
            <w:vAlign w:val="bottom"/>
          </w:tcPr>
          <w:p>
            <w:pPr>
              <w:spacing w:after="0"/>
              <w:rPr>
                <w:sz w:val="9"/>
                <w:szCs w:val="9"/>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17,051</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93.0 %</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52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320" w:type="dxa"/>
            <w:vAlign w:val="bottom"/>
            <w:vMerge w:val="restart"/>
          </w:tcPr>
          <w:p>
            <w:pPr>
              <w:jc w:val="right"/>
              <w:ind w:right="74"/>
              <w:spacing w:after="0"/>
              <w:rPr>
                <w:sz w:val="20"/>
                <w:szCs w:val="20"/>
                <w:color w:val="auto"/>
              </w:rPr>
            </w:pPr>
            <w:r>
              <w:rPr>
                <w:rFonts w:ascii="Times New Roman" w:cs="Times New Roman" w:eastAsia="Times New Roman" w:hAnsi="Times New Roman"/>
                <w:sz w:val="9"/>
                <w:szCs w:val="9"/>
                <w:b w:val="1"/>
                <w:bCs w:val="1"/>
                <w:color w:val="auto"/>
              </w:rPr>
              <w:t>(2)</w:t>
            </w:r>
          </w:p>
        </w:tc>
        <w:tc>
          <w:tcPr>
            <w:tcW w:w="14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52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Retail (includes retail properties that are in the base of our office properties)</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320" w:type="dxa"/>
            <w:vAlign w:val="bottom"/>
            <w:vMerge w:val="continue"/>
          </w:tcPr>
          <w:p>
            <w:pPr>
              <w:spacing w:after="0"/>
              <w:rPr>
                <w:sz w:val="9"/>
                <w:szCs w:val="9"/>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100" w:type="dxa"/>
            <w:vAlign w:val="bottom"/>
          </w:tcPr>
          <w:p>
            <w:pPr>
              <w:spacing w:after="0"/>
              <w:rPr>
                <w:sz w:val="9"/>
                <w:szCs w:val="9"/>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1,662</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78.4 %</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52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320" w:type="dxa"/>
            <w:vAlign w:val="bottom"/>
            <w:vMerge w:val="restart"/>
          </w:tcPr>
          <w:p>
            <w:pPr>
              <w:jc w:val="right"/>
              <w:ind w:right="74"/>
              <w:spacing w:after="0"/>
              <w:rPr>
                <w:sz w:val="20"/>
                <w:szCs w:val="20"/>
                <w:color w:val="auto"/>
              </w:rPr>
            </w:pPr>
            <w:r>
              <w:rPr>
                <w:rFonts w:ascii="Times New Roman" w:cs="Times New Roman" w:eastAsia="Times New Roman" w:hAnsi="Times New Roman"/>
                <w:sz w:val="9"/>
                <w:szCs w:val="9"/>
                <w:b w:val="1"/>
                <w:bCs w:val="1"/>
                <w:color w:val="auto"/>
              </w:rPr>
              <w:t>(2)</w:t>
            </w:r>
          </w:p>
        </w:tc>
        <w:tc>
          <w:tcPr>
            <w:tcW w:w="14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280" w:type="dxa"/>
            <w:vAlign w:val="bottom"/>
            <w:vMerge w:val="restart"/>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182"/>
        </w:trPr>
        <w:tc>
          <w:tcPr>
            <w:tcW w:w="5260" w:type="dxa"/>
            <w:vAlign w:val="bottom"/>
          </w:tcPr>
          <w:p>
            <w:pPr>
              <w:ind w:left="220"/>
              <w:spacing w:after="0" w:line="182" w:lineRule="exact"/>
              <w:rPr>
                <w:sz w:val="20"/>
                <w:szCs w:val="20"/>
                <w:color w:val="auto"/>
              </w:rPr>
            </w:pPr>
            <w:r>
              <w:rPr>
                <w:rFonts w:ascii="Times New Roman" w:cs="Times New Roman" w:eastAsia="Times New Roman" w:hAnsi="Times New Roman"/>
                <w:sz w:val="14"/>
                <w:szCs w:val="14"/>
                <w:color w:val="auto"/>
              </w:rPr>
              <w:t>Residential - 1,640 units</w:t>
            </w:r>
            <w:r>
              <w:rPr>
                <w:rFonts w:ascii="Times New Roman" w:cs="Times New Roman" w:eastAsia="Times New Roman" w:hAnsi="Times New Roman"/>
                <w:sz w:val="18"/>
                <w:szCs w:val="18"/>
                <w:b w:val="1"/>
                <w:bCs w:val="1"/>
                <w:color w:val="auto"/>
                <w:vertAlign w:val="superscript"/>
              </w:rPr>
              <w:t>(3)</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vMerge w:val="continue"/>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97.8 %</w:t>
            </w: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Alexander's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94.6 %</w:t>
            </w:r>
          </w:p>
        </w:tc>
        <w:tc>
          <w:tcPr>
            <w:tcW w:w="280" w:type="dxa"/>
            <w:vAlign w:val="bottom"/>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24"/>
        </w:trPr>
        <w:tc>
          <w:tcPr>
            <w:tcW w:w="52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5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25,116</w:t>
            </w:r>
          </w:p>
        </w:tc>
        <w:tc>
          <w:tcPr>
            <w:tcW w:w="100" w:type="dxa"/>
            <w:vAlign w:val="bottom"/>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91.5 %</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THE MART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79.5 %</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555 California Street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vMerge w:val="restart"/>
          </w:tcPr>
          <w:p>
            <w:pPr>
              <w:jc w:val="right"/>
              <w:ind w:right="74"/>
              <w:spacing w:after="0"/>
              <w:rPr>
                <w:sz w:val="20"/>
                <w:szCs w:val="20"/>
                <w:color w:val="auto"/>
              </w:rPr>
            </w:pPr>
            <w:r>
              <w:rPr>
                <w:rFonts w:ascii="Times New Roman" w:cs="Times New Roman" w:eastAsia="Times New Roman" w:hAnsi="Times New Roman"/>
                <w:sz w:val="9"/>
                <w:szCs w:val="9"/>
                <w:b w:val="1"/>
                <w:bCs w:val="1"/>
                <w:color w:val="auto"/>
              </w:rPr>
              <w:t>(4)</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87.5 %</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52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320" w:type="dxa"/>
            <w:vAlign w:val="bottom"/>
            <w:vMerge w:val="continue"/>
          </w:tcPr>
          <w:p>
            <w:pPr>
              <w:spacing w:after="0"/>
              <w:rPr>
                <w:sz w:val="8"/>
                <w:szCs w:val="8"/>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3,389</w:t>
            </w:r>
          </w:p>
        </w:tc>
        <w:tc>
          <w:tcPr>
            <w:tcW w:w="100" w:type="dxa"/>
            <w:vAlign w:val="bottom"/>
          </w:tcPr>
          <w:p>
            <w:pPr>
              <w:spacing w:after="0"/>
              <w:rPr>
                <w:sz w:val="8"/>
                <w:szCs w:val="8"/>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86.4 %</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2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8,907</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6,510</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square feet as of September 30, 2026</w:t>
            </w:r>
          </w:p>
        </w:tc>
        <w:tc>
          <w:tcPr>
            <w:tcW w:w="10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34,023</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26,499</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____________________</w:t>
            </w:r>
          </w:p>
        </w:tc>
        <w:tc>
          <w:tcPr>
            <w:tcW w:w="1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6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See notes below.</w:t>
            </w: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-1818005</wp:posOffset>
            </wp:positionV>
            <wp:extent cx="7134860" cy="1263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-1565910</wp:posOffset>
            </wp:positionV>
            <wp:extent cx="7134860" cy="1263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-800100</wp:posOffset>
            </wp:positionV>
            <wp:extent cx="7134860" cy="1263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Square Footage (in service) and Occupancy as of December 31, 2025</w:t>
      </w:r>
      <w:r>
        <w:rPr>
          <w:rFonts w:ascii="Times New Roman" w:cs="Times New Roman" w:eastAsia="Times New Roman" w:hAnsi="Times New Roman"/>
          <w:sz w:val="22"/>
          <w:szCs w:val="22"/>
          <w:b w:val="1"/>
          <w:bCs w:val="1"/>
          <w:color w:val="auto"/>
          <w:vertAlign w:val="superscript"/>
        </w:rPr>
        <w:t>(1)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(Square feet in thousands)</w:t>
            </w: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3"/>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Square Feet (in service)</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80" w:type="dxa"/>
            <w:vAlign w:val="bottom"/>
          </w:tcPr>
          <w:p>
            <w:pPr>
              <w:spacing w:after="0"/>
              <w:rPr>
                <w:sz w:val="2"/>
                <w:szCs w:val="2"/>
                <w:color w:val="auto"/>
              </w:rPr>
            </w:pPr>
          </w:p>
        </w:tc>
        <w:tc>
          <w:tcPr>
            <w:tcW w:w="104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2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52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440" w:type="dxa"/>
            <w:vAlign w:val="bottom"/>
          </w:tcPr>
          <w:p>
            <w:pPr>
              <w:jc w:val="right"/>
              <w:ind w:right="529"/>
              <w:spacing w:after="0" w:line="126" w:lineRule="exact"/>
              <w:rPr>
                <w:sz w:val="20"/>
                <w:szCs w:val="20"/>
                <w:color w:val="auto"/>
              </w:rPr>
            </w:pPr>
            <w:r>
              <w:rPr>
                <w:rFonts w:ascii="Times New Roman" w:cs="Times New Roman" w:eastAsia="Times New Roman" w:hAnsi="Times New Roman"/>
                <w:sz w:val="14"/>
                <w:szCs w:val="14"/>
                <w:b w:val="1"/>
                <w:bCs w:val="1"/>
                <w:color w:val="auto"/>
              </w:rPr>
              <w:t>Our</w:t>
            </w:r>
          </w:p>
        </w:tc>
        <w:tc>
          <w:tcPr>
            <w:tcW w:w="100" w:type="dxa"/>
            <w:vAlign w:val="bottom"/>
          </w:tcPr>
          <w:p>
            <w:pPr>
              <w:spacing w:after="0"/>
              <w:rPr>
                <w:sz w:val="10"/>
                <w:szCs w:val="10"/>
                <w:color w:val="auto"/>
              </w:rPr>
            </w:pPr>
          </w:p>
        </w:tc>
        <w:tc>
          <w:tcPr>
            <w:tcW w:w="12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Occupancy %</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104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32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4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1040" w:type="dxa"/>
            <w:vAlign w:val="bottom"/>
            <w:tcBorders>
              <w:top w:val="single" w:sz="8" w:color="auto"/>
            </w:tcBorders>
          </w:tcPr>
          <w:p>
            <w:pPr>
              <w:spacing w:after="0"/>
              <w:rPr>
                <w:sz w:val="14"/>
                <w:szCs w:val="14"/>
                <w:color w:val="auto"/>
              </w:rPr>
            </w:pPr>
          </w:p>
        </w:tc>
        <w:tc>
          <w:tcPr>
            <w:tcW w:w="320" w:type="dxa"/>
            <w:vAlign w:val="bottom"/>
            <w:vMerge w:val="restart"/>
          </w:tcPr>
          <w:p>
            <w:pPr>
              <w:jc w:val="right"/>
              <w:ind w:right="54"/>
              <w:spacing w:after="0"/>
              <w:rPr>
                <w:sz w:val="20"/>
                <w:szCs w:val="20"/>
                <w:color w:val="auto"/>
              </w:rPr>
            </w:pPr>
            <w:r>
              <w:rPr>
                <w:rFonts w:ascii="Times New Roman" w:cs="Times New Roman" w:eastAsia="Times New Roman" w:hAnsi="Times New Roman"/>
                <w:sz w:val="9"/>
                <w:szCs w:val="9"/>
                <w:b w:val="1"/>
                <w:bCs w:val="1"/>
                <w:color w:val="auto"/>
              </w:rPr>
              <w:t>(2)</w:t>
            </w:r>
          </w:p>
        </w:tc>
        <w:tc>
          <w:tcPr>
            <w:tcW w:w="1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52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Office</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320" w:type="dxa"/>
            <w:vAlign w:val="bottom"/>
            <w:vMerge w:val="continue"/>
          </w:tcPr>
          <w:p>
            <w:pPr>
              <w:spacing w:after="0"/>
              <w:rPr>
                <w:sz w:val="9"/>
                <w:szCs w:val="9"/>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19,235</w:t>
            </w:r>
          </w:p>
        </w:tc>
        <w:tc>
          <w:tcPr>
            <w:tcW w:w="100" w:type="dxa"/>
            <w:vAlign w:val="bottom"/>
          </w:tcPr>
          <w:p>
            <w:pPr>
              <w:spacing w:after="0"/>
              <w:rPr>
                <w:sz w:val="9"/>
                <w:szCs w:val="9"/>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17,078</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91.2 %</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52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320" w:type="dxa"/>
            <w:vAlign w:val="bottom"/>
            <w:vMerge w:val="restart"/>
          </w:tcPr>
          <w:p>
            <w:pPr>
              <w:jc w:val="right"/>
              <w:ind w:right="54"/>
              <w:spacing w:after="0"/>
              <w:rPr>
                <w:sz w:val="20"/>
                <w:szCs w:val="20"/>
                <w:color w:val="auto"/>
              </w:rPr>
            </w:pPr>
            <w:r>
              <w:rPr>
                <w:rFonts w:ascii="Times New Roman" w:cs="Times New Roman" w:eastAsia="Times New Roman" w:hAnsi="Times New Roman"/>
                <w:sz w:val="9"/>
                <w:szCs w:val="9"/>
                <w:b w:val="1"/>
                <w:bCs w:val="1"/>
                <w:color w:val="auto"/>
              </w:rPr>
              <w:t>(2)</w:t>
            </w:r>
          </w:p>
        </w:tc>
        <w:tc>
          <w:tcPr>
            <w:tcW w:w="14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52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Retail (includes retail properties that are in the base of our office properties)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320" w:type="dxa"/>
            <w:vAlign w:val="bottom"/>
            <w:vMerge w:val="continue"/>
          </w:tcPr>
          <w:p>
            <w:pPr>
              <w:spacing w:after="0"/>
              <w:rPr>
                <w:sz w:val="9"/>
                <w:szCs w:val="9"/>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100" w:type="dxa"/>
            <w:vAlign w:val="bottom"/>
          </w:tcPr>
          <w:p>
            <w:pPr>
              <w:spacing w:after="0"/>
              <w:rPr>
                <w:sz w:val="9"/>
                <w:szCs w:val="9"/>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1,659</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79.4 %</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52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320" w:type="dxa"/>
            <w:vAlign w:val="bottom"/>
            <w:vMerge w:val="restart"/>
          </w:tcPr>
          <w:p>
            <w:pPr>
              <w:jc w:val="right"/>
              <w:ind w:right="54"/>
              <w:spacing w:after="0"/>
              <w:rPr>
                <w:sz w:val="20"/>
                <w:szCs w:val="20"/>
                <w:color w:val="auto"/>
              </w:rPr>
            </w:pPr>
            <w:r>
              <w:rPr>
                <w:rFonts w:ascii="Times New Roman" w:cs="Times New Roman" w:eastAsia="Times New Roman" w:hAnsi="Times New Roman"/>
                <w:sz w:val="9"/>
                <w:szCs w:val="9"/>
                <w:b w:val="1"/>
                <w:bCs w:val="1"/>
                <w:color w:val="auto"/>
              </w:rPr>
              <w:t>(2)</w:t>
            </w:r>
          </w:p>
        </w:tc>
        <w:tc>
          <w:tcPr>
            <w:tcW w:w="14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280" w:type="dxa"/>
            <w:vAlign w:val="bottom"/>
            <w:vMerge w:val="restart"/>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182"/>
        </w:trPr>
        <w:tc>
          <w:tcPr>
            <w:tcW w:w="5280" w:type="dxa"/>
            <w:vAlign w:val="bottom"/>
          </w:tcPr>
          <w:p>
            <w:pPr>
              <w:ind w:left="220"/>
              <w:spacing w:after="0" w:line="182" w:lineRule="exact"/>
              <w:rPr>
                <w:sz w:val="20"/>
                <w:szCs w:val="20"/>
                <w:color w:val="auto"/>
              </w:rPr>
            </w:pPr>
            <w:r>
              <w:rPr>
                <w:rFonts w:ascii="Times New Roman" w:cs="Times New Roman" w:eastAsia="Times New Roman" w:hAnsi="Times New Roman"/>
                <w:sz w:val="14"/>
                <w:szCs w:val="14"/>
                <w:color w:val="auto"/>
              </w:rPr>
              <w:t>Residential - 1,643 units</w:t>
            </w:r>
            <w:r>
              <w:rPr>
                <w:rFonts w:ascii="Times New Roman" w:cs="Times New Roman" w:eastAsia="Times New Roman" w:hAnsi="Times New Roman"/>
                <w:sz w:val="18"/>
                <w:szCs w:val="18"/>
                <w:b w:val="1"/>
                <w:bCs w:val="1"/>
                <w:color w:val="auto"/>
                <w:vertAlign w:val="superscript"/>
              </w:rPr>
              <w:t>(3)</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vMerge w:val="continue"/>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95.5 %</w:t>
            </w: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Alexander's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94.6 %</w:t>
            </w:r>
          </w:p>
        </w:tc>
        <w:tc>
          <w:tcPr>
            <w:tcW w:w="280" w:type="dxa"/>
            <w:vAlign w:val="bottom"/>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24"/>
        </w:trPr>
        <w:tc>
          <w:tcPr>
            <w:tcW w:w="52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5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24,569</w:t>
            </w:r>
          </w:p>
        </w:tc>
        <w:tc>
          <w:tcPr>
            <w:tcW w:w="100" w:type="dxa"/>
            <w:vAlign w:val="bottom"/>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90.0 %</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THE MART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81.5 %</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555 California Street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88.9 %</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32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3,271</w:t>
            </w:r>
          </w:p>
        </w:tc>
        <w:tc>
          <w:tcPr>
            <w:tcW w:w="100" w:type="dxa"/>
            <w:vAlign w:val="bottom"/>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82.4 %</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8,788</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6,439</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square feet as of December 31, 2025</w:t>
            </w:r>
          </w:p>
        </w:tc>
        <w:tc>
          <w:tcPr>
            <w:tcW w:w="10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33,357</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26,463</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____________________</w:t>
            </w:r>
          </w:p>
        </w:tc>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8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-1702435</wp:posOffset>
            </wp:positionV>
            <wp:extent cx="7134860" cy="1263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1263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-1449705</wp:posOffset>
            </wp:positionV>
            <wp:extent cx="7134860" cy="1263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ind w:left="320" w:hanging="314"/>
        <w:spacing w:after="0" w:line="264" w:lineRule="auto"/>
        <w:tabs>
          <w:tab w:leader="none" w:pos="312"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During the first quarter of 2026, we changed the property composition for our subsegment reporting of net operating income but continue to report our operating metrics, including occupancy, leasing activity, and lease expirations on a space type basis. See pages 49 and 55 for details of our NOI subsegment change.</w:t>
      </w:r>
    </w:p>
    <w:p>
      <w:pPr>
        <w:spacing w:after="0" w:line="1"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Reflects the Office, Retail and Residential space within our 55 and 56 total New York properties as of September 30, 2026 and December 31, 2025.</w:t>
      </w:r>
    </w:p>
    <w:p>
      <w:pPr>
        <w:spacing w:after="0" w:line="22"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Alexander Apartment Tower (312 units) is reflected in Residential unit count and occupancy.</w:t>
      </w:r>
    </w:p>
    <w:p>
      <w:pPr>
        <w:spacing w:after="0" w:line="11"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Reflects the reclassification of Sunset Pier 94 and 40 East 66th Street Residential from the “New York” segment to the “Other” segment during the nine months ended September 30, 2026.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A summary of our critical accounting policies and estimates used in the preparation of our consolidated financial statements is included in Part II, Item 7 -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in our Annual Report on Form 10-K for the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2025. For the nine months ended September 30, 2026, there were no material changes to these policies.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Literature</w:t>
      </w:r>
    </w:p>
    <w:p>
      <w:pPr>
        <w:spacing w:after="0" w:line="58"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Refer to Note 3 - </w:t>
      </w:r>
      <w:r>
        <w:rPr>
          <w:rFonts w:ascii="Times New Roman" w:cs="Times New Roman" w:eastAsia="Times New Roman" w:hAnsi="Times New Roman"/>
          <w:sz w:val="18"/>
          <w:szCs w:val="18"/>
          <w:i w:val="1"/>
          <w:iCs w:val="1"/>
          <w:color w:val="auto"/>
        </w:rPr>
        <w:t>Recently Issued Accounting Literature</w:t>
      </w:r>
      <w:r>
        <w:rPr>
          <w:rFonts w:ascii="Times New Roman" w:cs="Times New Roman" w:eastAsia="Times New Roman" w:hAnsi="Times New Roman"/>
          <w:sz w:val="18"/>
          <w:szCs w:val="18"/>
          <w:color w:val="auto"/>
        </w:rPr>
        <w:t xml:space="preserve"> to the unaudited consolidated financial statements in Part I, Item 1 of this Quarterly Report on Form 10-Q for information regarding recent accounting pronouncements that may affect us.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NOI At Share by Segment for the Three Months Ended September 30, 2026 and 2025</w:t>
      </w:r>
    </w:p>
    <w:p>
      <w:pPr>
        <w:spacing w:after="0" w:line="200" w:lineRule="exact"/>
        <w:rPr>
          <w:sz w:val="20"/>
          <w:szCs w:val="20"/>
          <w:color w:val="auto"/>
        </w:rPr>
      </w:pPr>
    </w:p>
    <w:p>
      <w:pPr>
        <w:spacing w:after="0" w:line="20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NOI at share represents total revenues less operating expenses including our share of partially owned entities. NOI at share - cash basis represents NOI at share adjusted to exclude straight-line rental income and expense, amortization of acquired below and above market leases, accruals for ground rent resets yet to be determined, and other non-cash adjustments. We consider NOI at share to be the primary non-GAAP financial measure for making decisions and assessing the unlevered performance of our segments as it relates to the return on assets as opposed to the levered return on equity. As properties are bought and sold based on NOI at share - cash basis, we utilize this measure to make investment decisions as well as to compare the performance of our assets to that of our peers. NOI at share and NOI at share - cash basis should not be considered alternatives to net income or cash flow from operations and may not be comparable to similarly titled measures employed by other companies.</w:t>
      </w:r>
    </w:p>
    <w:p>
      <w:pPr>
        <w:spacing w:after="0" w:line="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NOI at share and NOI at share - cash basis by segment for the three months ended September 30, 2026 and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040" w:type="dxa"/>
            <w:vAlign w:val="bottom"/>
          </w:tcPr>
          <w:p>
            <w:pPr>
              <w:spacing w:after="0"/>
              <w:rPr>
                <w:sz w:val="16"/>
                <w:szCs w:val="16"/>
                <w:color w:val="auto"/>
              </w:rPr>
            </w:pPr>
          </w:p>
        </w:tc>
        <w:tc>
          <w:tcPr>
            <w:tcW w:w="31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2026</w:t>
            </w:r>
          </w:p>
        </w:tc>
        <w:tc>
          <w:tcPr>
            <w:tcW w:w="1060" w:type="dxa"/>
            <w:vAlign w:val="bottom"/>
          </w:tcPr>
          <w:p>
            <w:pPr>
              <w:spacing w:after="0"/>
              <w:rPr>
                <w:sz w:val="16"/>
                <w:szCs w:val="16"/>
                <w:color w:val="auto"/>
              </w:rPr>
            </w:pPr>
          </w:p>
        </w:tc>
      </w:tr>
      <w:tr>
        <w:trPr>
          <w:trHeight w:val="24"/>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60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New York</w:t>
            </w:r>
          </w:p>
        </w:tc>
        <w:tc>
          <w:tcPr>
            <w:tcW w:w="600" w:type="dxa"/>
            <w:vAlign w:val="bottom"/>
          </w:tcPr>
          <w:p>
            <w:pPr>
              <w:spacing w:after="0"/>
              <w:rPr>
                <w:sz w:val="16"/>
                <w:szCs w:val="16"/>
                <w:color w:val="auto"/>
              </w:rPr>
            </w:pPr>
          </w:p>
        </w:tc>
        <w:tc>
          <w:tcPr>
            <w:tcW w:w="106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8"/>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040" w:type="dxa"/>
            <w:vAlign w:val="bottom"/>
            <w:tcBorders>
              <w:top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467,657</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380,212</w:t>
            </w: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87,445</w:t>
            </w:r>
          </w:p>
        </w:tc>
      </w:tr>
      <w:tr>
        <w:trPr>
          <w:trHeight w:val="192"/>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0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(245,521)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(200,057)</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(45,464)</w:t>
            </w:r>
          </w:p>
        </w:tc>
      </w:tr>
      <w:tr>
        <w:trPr>
          <w:trHeight w:val="19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 consolidated</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222,136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180,155</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41,981</w:t>
            </w:r>
          </w:p>
        </w:tc>
      </w:tr>
      <w:tr>
        <w:trPr>
          <w:trHeight w:val="191"/>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Deduct: NOI attributable to noncontrolling interests in consolidated subsidiaries</w:t>
            </w:r>
          </w:p>
        </w:tc>
        <w:tc>
          <w:tcPr>
            <w:tcW w:w="10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(4,412)</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(6,478)</w:t>
            </w:r>
          </w:p>
        </w:tc>
      </w:tr>
      <w:tr>
        <w:trPr>
          <w:trHeight w:val="20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NOI from partially owned entities</w:t>
            </w:r>
          </w:p>
        </w:tc>
        <w:tc>
          <w:tcPr>
            <w:tcW w:w="10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88,808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84,877</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3,931</w:t>
            </w:r>
          </w:p>
        </w:tc>
      </w:tr>
      <w:tr>
        <w:trPr>
          <w:trHeight w:val="185"/>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 at share</w:t>
            </w:r>
          </w:p>
        </w:tc>
        <w:tc>
          <w:tcPr>
            <w:tcW w:w="104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300,054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260,620</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39,434</w:t>
            </w:r>
          </w:p>
        </w:tc>
      </w:tr>
      <w:tr>
        <w:trPr>
          <w:trHeight w:val="19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adjustments for straight-line rents, amortization of acquired below-market leases, net, and other</w:t>
            </w:r>
          </w:p>
        </w:tc>
        <w:tc>
          <w:tcPr>
            <w:tcW w:w="10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(44,395)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(42,622)</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w:t>
            </w:r>
          </w:p>
        </w:tc>
      </w:tr>
      <w:tr>
        <w:trPr>
          <w:trHeight w:val="199"/>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 at share - cash basis</w:t>
            </w:r>
          </w:p>
        </w:tc>
        <w:tc>
          <w:tcPr>
            <w:tcW w:w="104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255,659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217,998</w:t>
            </w:r>
          </w:p>
        </w:tc>
        <w:tc>
          <w:tcPr>
            <w:tcW w:w="120" w:type="dxa"/>
            <w:vAlign w:val="bottom"/>
          </w:tcPr>
          <w:p>
            <w:pPr>
              <w:spacing w:after="0"/>
              <w:rPr>
                <w:sz w:val="17"/>
                <w:szCs w:val="17"/>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37,661</w:t>
            </w: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040" w:type="dxa"/>
            <w:vAlign w:val="bottom"/>
          </w:tcPr>
          <w:p>
            <w:pPr>
              <w:spacing w:after="0"/>
              <w:rPr>
                <w:sz w:val="16"/>
                <w:szCs w:val="16"/>
                <w:color w:val="auto"/>
              </w:rPr>
            </w:pPr>
          </w:p>
        </w:tc>
        <w:tc>
          <w:tcPr>
            <w:tcW w:w="31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tc>
        <w:tc>
          <w:tcPr>
            <w:tcW w:w="1060" w:type="dxa"/>
            <w:vAlign w:val="bottom"/>
          </w:tcPr>
          <w:p>
            <w:pPr>
              <w:spacing w:after="0"/>
              <w:rPr>
                <w:sz w:val="16"/>
                <w:szCs w:val="16"/>
                <w:color w:val="auto"/>
              </w:rPr>
            </w:pPr>
          </w:p>
        </w:tc>
      </w:tr>
      <w:tr>
        <w:trPr>
          <w:trHeight w:val="24"/>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60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New York</w:t>
            </w:r>
          </w:p>
        </w:tc>
        <w:tc>
          <w:tcPr>
            <w:tcW w:w="600" w:type="dxa"/>
            <w:vAlign w:val="bottom"/>
          </w:tcPr>
          <w:p>
            <w:pPr>
              <w:spacing w:after="0"/>
              <w:rPr>
                <w:sz w:val="16"/>
                <w:szCs w:val="16"/>
                <w:color w:val="auto"/>
              </w:rPr>
            </w:pPr>
          </w:p>
        </w:tc>
        <w:tc>
          <w:tcPr>
            <w:tcW w:w="106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8"/>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040" w:type="dxa"/>
            <w:vAlign w:val="bottom"/>
            <w:tcBorders>
              <w:top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453,700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365,654</w:t>
            </w: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88,046</w:t>
            </w:r>
          </w:p>
        </w:tc>
      </w:tr>
      <w:tr>
        <w:trPr>
          <w:trHeight w:val="192"/>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0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(241,769)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(197,119)</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(44,650)</w:t>
            </w:r>
          </w:p>
        </w:tc>
      </w:tr>
      <w:tr>
        <w:trPr>
          <w:trHeight w:val="19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 consolidated</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211,931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168,535</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43,396</w:t>
            </w:r>
          </w:p>
        </w:tc>
      </w:tr>
      <w:tr>
        <w:trPr>
          <w:trHeight w:val="191"/>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Deduct: NOI attributable to noncontrolling interests in consolidated subsidiaries</w:t>
            </w:r>
          </w:p>
        </w:tc>
        <w:tc>
          <w:tcPr>
            <w:tcW w:w="1040" w:type="dxa"/>
            <w:vAlign w:val="bottom"/>
          </w:tcPr>
          <w:p>
            <w:pPr>
              <w:spacing w:after="0"/>
              <w:rPr>
                <w:sz w:val="16"/>
                <w:szCs w:val="16"/>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(10,139)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(7,326)</w:t>
            </w:r>
          </w:p>
        </w:tc>
      </w:tr>
      <w:tr>
        <w:trPr>
          <w:trHeight w:val="20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NOI from partially owned entities</w:t>
            </w:r>
          </w:p>
        </w:tc>
        <w:tc>
          <w:tcPr>
            <w:tcW w:w="10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64,884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62,420</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2,464</w:t>
            </w:r>
          </w:p>
        </w:tc>
      </w:tr>
      <w:tr>
        <w:trPr>
          <w:trHeight w:val="185"/>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 at share</w:t>
            </w:r>
          </w:p>
        </w:tc>
        <w:tc>
          <w:tcPr>
            <w:tcW w:w="1040" w:type="dxa"/>
            <w:vAlign w:val="bottom"/>
          </w:tcPr>
          <w:p>
            <w:pPr>
              <w:spacing w:after="0"/>
              <w:rPr>
                <w:sz w:val="16"/>
                <w:szCs w:val="16"/>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266,676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228,142</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38,534</w:t>
            </w:r>
          </w:p>
        </w:tc>
      </w:tr>
      <w:tr>
        <w:trPr>
          <w:trHeight w:val="19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adjustments for straight-line rents, amortization of acquired below-market leases, net, and other</w:t>
            </w:r>
          </w:p>
        </w:tc>
        <w:tc>
          <w:tcPr>
            <w:tcW w:w="10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(30,746)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(29,724)</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w:t>
            </w:r>
          </w:p>
        </w:tc>
      </w:tr>
      <w:tr>
        <w:trPr>
          <w:trHeight w:val="199"/>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 at share - cash basis</w:t>
            </w:r>
          </w:p>
        </w:tc>
        <w:tc>
          <w:tcPr>
            <w:tcW w:w="104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235,930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198,418</w:t>
            </w:r>
          </w:p>
        </w:tc>
        <w:tc>
          <w:tcPr>
            <w:tcW w:w="120" w:type="dxa"/>
            <w:vAlign w:val="bottom"/>
          </w:tcPr>
          <w:p>
            <w:pPr>
              <w:spacing w:after="0"/>
              <w:rPr>
                <w:sz w:val="17"/>
                <w:szCs w:val="17"/>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37,512</w:t>
            </w: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NOI At Share by Segment for the Three Months Ended September 30, 2026 and 2025 - continued</w:t>
      </w:r>
    </w:p>
    <w:p>
      <w:pPr>
        <w:spacing w:after="0" w:line="200" w:lineRule="exact"/>
        <w:rPr>
          <w:sz w:val="20"/>
          <w:szCs w:val="20"/>
          <w:color w:val="auto"/>
        </w:rPr>
      </w:pPr>
    </w:p>
    <w:p>
      <w:pPr>
        <w:spacing w:after="0" w:line="2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elements of our New York and Other NOI at share for the three months ended September 30, 2026 and 2025 are summarized below.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6"/>
                <w:szCs w:val="16"/>
                <w:color w:val="auto"/>
              </w:rPr>
            </w:pPr>
          </w:p>
        </w:tc>
        <w:tc>
          <w:tcPr>
            <w:tcW w:w="340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0" w:type="dxa"/>
            <w:vAlign w:val="bottom"/>
          </w:tcPr>
          <w:p>
            <w:pPr>
              <w:spacing w:after="0"/>
              <w:rPr>
                <w:sz w:val="1"/>
                <w:szCs w:val="1"/>
                <w:color w:val="auto"/>
              </w:rPr>
            </w:pPr>
          </w:p>
        </w:tc>
      </w:tr>
      <w:tr>
        <w:trPr>
          <w:trHeight w:val="24"/>
        </w:trPr>
        <w:tc>
          <w:tcPr>
            <w:tcW w:w="7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1"/>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54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4"/>
                <w:szCs w:val="14"/>
                <w:color w:val="auto"/>
              </w:rPr>
              <w:t>Office (includes base retail)</w:t>
            </w:r>
            <w:r>
              <w:rPr>
                <w:rFonts w:ascii="Times New Roman" w:cs="Times New Roman" w:eastAsia="Times New Roman" w:hAnsi="Times New Roman"/>
                <w:sz w:val="18"/>
                <w:szCs w:val="18"/>
                <w:b w:val="1"/>
                <w:bCs w:val="1"/>
                <w:color w:val="auto"/>
                <w:vertAlign w:val="superscript"/>
              </w:rPr>
              <w:t>(1)</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189,099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169,140</w:t>
            </w:r>
          </w:p>
        </w:tc>
        <w:tc>
          <w:tcPr>
            <w:tcW w:w="0" w:type="dxa"/>
            <w:vAlign w:val="bottom"/>
          </w:tcPr>
          <w:p>
            <w:pPr>
              <w:spacing w:after="0"/>
              <w:rPr>
                <w:sz w:val="1"/>
                <w:szCs w:val="1"/>
                <w:color w:val="auto"/>
              </w:rPr>
            </w:pPr>
          </w:p>
        </w:tc>
      </w:tr>
      <w:tr>
        <w:trPr>
          <w:trHeight w:val="199"/>
        </w:trPr>
        <w:tc>
          <w:tcPr>
            <w:tcW w:w="7540" w:type="dxa"/>
            <w:vAlign w:val="bottom"/>
          </w:tcPr>
          <w:p>
            <w:pPr>
              <w:ind w:left="140"/>
              <w:spacing w:after="0" w:line="199" w:lineRule="exact"/>
              <w:rPr>
                <w:sz w:val="20"/>
                <w:szCs w:val="20"/>
                <w:color w:val="auto"/>
              </w:rPr>
            </w:pPr>
            <w:r>
              <w:rPr>
                <w:rFonts w:ascii="Times New Roman" w:cs="Times New Roman" w:eastAsia="Times New Roman" w:hAnsi="Times New Roman"/>
                <w:sz w:val="14"/>
                <w:szCs w:val="14"/>
                <w:color w:val="auto"/>
              </w:rPr>
              <w:t>Street Retail</w:t>
            </w:r>
            <w:r>
              <w:rPr>
                <w:rFonts w:ascii="Times New Roman" w:cs="Times New Roman" w:eastAsia="Times New Roman" w:hAnsi="Times New Roman"/>
                <w:sz w:val="18"/>
                <w:szCs w:val="18"/>
                <w:b w:val="1"/>
                <w:bCs w:val="1"/>
                <w:color w:val="auto"/>
                <w:vertAlign w:val="superscript"/>
              </w:rPr>
              <w:t>(1)</w:t>
            </w: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49,195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43,775</w:t>
            </w:r>
          </w:p>
        </w:tc>
        <w:tc>
          <w:tcPr>
            <w:tcW w:w="0" w:type="dxa"/>
            <w:vAlign w:val="bottom"/>
          </w:tcPr>
          <w:p>
            <w:pPr>
              <w:spacing w:after="0"/>
              <w:rPr>
                <w:sz w:val="1"/>
                <w:szCs w:val="1"/>
                <w:color w:val="auto"/>
              </w:rPr>
            </w:pPr>
          </w:p>
        </w:tc>
      </w:tr>
      <w:tr>
        <w:trPr>
          <w:trHeight w:val="19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6,457</w:t>
            </w:r>
          </w:p>
        </w:tc>
        <w:tc>
          <w:tcPr>
            <w:tcW w:w="0" w:type="dxa"/>
            <w:vAlign w:val="bottom"/>
          </w:tcPr>
          <w:p>
            <w:pPr>
              <w:spacing w:after="0"/>
              <w:rPr>
                <w:sz w:val="1"/>
                <w:szCs w:val="1"/>
                <w:color w:val="auto"/>
              </w:rPr>
            </w:pPr>
          </w:p>
        </w:tc>
      </w:tr>
      <w:tr>
        <w:trPr>
          <w:trHeight w:val="199"/>
        </w:trPr>
        <w:tc>
          <w:tcPr>
            <w:tcW w:w="7540" w:type="dxa"/>
            <w:vAlign w:val="bottom"/>
            <w:tcBorders>
              <w:bottom w:val="single" w:sz="8" w:color="CCEEFF"/>
            </w:tcBorders>
          </w:tcPr>
          <w:p>
            <w:pPr>
              <w:ind w:left="140"/>
              <w:spacing w:after="0" w:line="199" w:lineRule="exact"/>
              <w:rPr>
                <w:sz w:val="20"/>
                <w:szCs w:val="20"/>
                <w:color w:val="auto"/>
              </w:rPr>
            </w:pPr>
            <w:r>
              <w:rPr>
                <w:rFonts w:ascii="Times New Roman" w:cs="Times New Roman" w:eastAsia="Times New Roman" w:hAnsi="Times New Roman"/>
                <w:sz w:val="14"/>
                <w:szCs w:val="14"/>
                <w:color w:val="auto"/>
              </w:rPr>
              <w:t>Alexander's</w:t>
            </w:r>
            <w:r>
              <w:rPr>
                <w:rFonts w:ascii="Times New Roman" w:cs="Times New Roman" w:eastAsia="Times New Roman" w:hAnsi="Times New Roman"/>
                <w:sz w:val="18"/>
                <w:szCs w:val="18"/>
                <w:b w:val="1"/>
                <w:bCs w:val="1"/>
                <w:color w:val="auto"/>
                <w:vertAlign w:val="superscript"/>
              </w:rPr>
              <w:t>(2)</w:t>
            </w: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14,970</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8,770</w:t>
            </w:r>
          </w:p>
        </w:tc>
        <w:tc>
          <w:tcPr>
            <w:tcW w:w="0" w:type="dxa"/>
            <w:vAlign w:val="bottom"/>
          </w:tcPr>
          <w:p>
            <w:pPr>
              <w:spacing w:after="0"/>
              <w:rPr>
                <w:sz w:val="1"/>
                <w:szCs w:val="1"/>
                <w:color w:val="auto"/>
              </w:rPr>
            </w:pPr>
          </w:p>
        </w:tc>
      </w:tr>
      <w:tr>
        <w:trPr>
          <w:trHeight w:val="192"/>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New York</w:t>
            </w:r>
          </w:p>
        </w:tc>
        <w:tc>
          <w:tcPr>
            <w:tcW w:w="30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260,620</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228,142</w:t>
            </w:r>
          </w:p>
        </w:tc>
        <w:tc>
          <w:tcPr>
            <w:tcW w:w="0" w:type="dxa"/>
            <w:vAlign w:val="bottom"/>
          </w:tcPr>
          <w:p>
            <w:pPr>
              <w:spacing w:after="0"/>
              <w:rPr>
                <w:sz w:val="1"/>
                <w:szCs w:val="1"/>
                <w:color w:val="auto"/>
              </w:rPr>
            </w:pPr>
          </w:p>
        </w:tc>
      </w:tr>
      <w:tr>
        <w:trPr>
          <w:trHeight w:val="313"/>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THE MART</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13,275</w:t>
            </w:r>
          </w:p>
        </w:tc>
        <w:tc>
          <w:tcPr>
            <w:tcW w:w="0" w:type="dxa"/>
            <w:vAlign w:val="bottom"/>
          </w:tcPr>
          <w:p>
            <w:pPr>
              <w:spacing w:after="0"/>
              <w:rPr>
                <w:sz w:val="1"/>
                <w:szCs w:val="1"/>
                <w:color w:val="auto"/>
              </w:rPr>
            </w:pPr>
          </w:p>
        </w:tc>
      </w:tr>
      <w:tr>
        <w:trPr>
          <w:trHeight w:val="191"/>
        </w:trPr>
        <w:tc>
          <w:tcPr>
            <w:tcW w:w="7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555 California Street</w:t>
            </w: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17,293</w:t>
            </w:r>
          </w:p>
        </w:tc>
        <w:tc>
          <w:tcPr>
            <w:tcW w:w="0" w:type="dxa"/>
            <w:vAlign w:val="bottom"/>
          </w:tcPr>
          <w:p>
            <w:pPr>
              <w:spacing w:after="0"/>
              <w:rPr>
                <w:sz w:val="1"/>
                <w:szCs w:val="1"/>
                <w:color w:val="auto"/>
              </w:rPr>
            </w:pPr>
          </w:p>
        </w:tc>
      </w:tr>
      <w:tr>
        <w:trPr>
          <w:trHeight w:val="206"/>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investments</w:t>
            </w:r>
          </w:p>
        </w:tc>
        <w:tc>
          <w:tcPr>
            <w:tcW w:w="3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9,655</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7,966</w:t>
            </w:r>
          </w:p>
        </w:tc>
        <w:tc>
          <w:tcPr>
            <w:tcW w:w="0" w:type="dxa"/>
            <w:vAlign w:val="bottom"/>
          </w:tcPr>
          <w:p>
            <w:pPr>
              <w:spacing w:after="0"/>
              <w:rPr>
                <w:sz w:val="1"/>
                <w:szCs w:val="1"/>
                <w:color w:val="auto"/>
              </w:rPr>
            </w:pPr>
          </w:p>
        </w:tc>
      </w:tr>
      <w:tr>
        <w:trPr>
          <w:trHeight w:val="185"/>
        </w:trPr>
        <w:tc>
          <w:tcPr>
            <w:tcW w:w="7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Other</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39,434</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38,534</w:t>
            </w:r>
          </w:p>
        </w:tc>
        <w:tc>
          <w:tcPr>
            <w:tcW w:w="0" w:type="dxa"/>
            <w:vAlign w:val="bottom"/>
          </w:tcPr>
          <w:p>
            <w:pPr>
              <w:spacing w:after="0"/>
              <w:rPr>
                <w:sz w:val="1"/>
                <w:szCs w:val="1"/>
                <w:color w:val="auto"/>
              </w:rPr>
            </w:pPr>
          </w:p>
        </w:tc>
      </w:tr>
      <w:tr>
        <w:trPr>
          <w:trHeight w:val="146"/>
        </w:trPr>
        <w:tc>
          <w:tcPr>
            <w:tcW w:w="7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300,054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266,676</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____________________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5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540" w:type="dxa"/>
            <w:vAlign w:val="bottom"/>
          </w:tcPr>
          <w:p>
            <w:pPr>
              <w:spacing w:after="0"/>
              <w:rPr>
                <w:sz w:val="20"/>
                <w:szCs w:val="20"/>
                <w:color w:val="auto"/>
              </w:rPr>
            </w:pPr>
            <w:r>
              <w:rPr>
                <w:rFonts w:ascii="Times New Roman" w:cs="Times New Roman" w:eastAsia="Times New Roman" w:hAnsi="Times New Roman"/>
                <w:sz w:val="14"/>
                <w:szCs w:val="14"/>
                <w:color w:val="auto"/>
              </w:rPr>
              <w:t>See notes below.</w:t>
            </w: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elements of our New York and Other NOI at share - cash basis for the three months ended September 30, 2026 and 2025 are summarized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6"/>
                <w:szCs w:val="16"/>
                <w:color w:val="auto"/>
              </w:rPr>
            </w:pPr>
          </w:p>
        </w:tc>
        <w:tc>
          <w:tcPr>
            <w:tcW w:w="342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0" w:type="dxa"/>
            <w:vAlign w:val="bottom"/>
          </w:tcPr>
          <w:p>
            <w:pPr>
              <w:spacing w:after="0"/>
              <w:rPr>
                <w:sz w:val="1"/>
                <w:szCs w:val="1"/>
                <w:color w:val="auto"/>
              </w:rPr>
            </w:pPr>
          </w:p>
        </w:tc>
      </w:tr>
      <w:tr>
        <w:trPr>
          <w:trHeight w:val="24"/>
        </w:trPr>
        <w:tc>
          <w:tcPr>
            <w:tcW w:w="7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1"/>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7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52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4"/>
                <w:szCs w:val="14"/>
                <w:color w:val="auto"/>
              </w:rPr>
              <w:t>Office (includes base retail)</w:t>
            </w:r>
            <w:r>
              <w:rPr>
                <w:rFonts w:ascii="Times New Roman" w:cs="Times New Roman" w:eastAsia="Times New Roman" w:hAnsi="Times New Roman"/>
                <w:sz w:val="18"/>
                <w:szCs w:val="18"/>
                <w:b w:val="1"/>
                <w:bCs w:val="1"/>
                <w:color w:val="auto"/>
                <w:vertAlign w:val="superscript"/>
              </w:rPr>
              <w:t>(1)</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155,305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142,751</w:t>
            </w:r>
          </w:p>
        </w:tc>
        <w:tc>
          <w:tcPr>
            <w:tcW w:w="0" w:type="dxa"/>
            <w:vAlign w:val="bottom"/>
          </w:tcPr>
          <w:p>
            <w:pPr>
              <w:spacing w:after="0"/>
              <w:rPr>
                <w:sz w:val="1"/>
                <w:szCs w:val="1"/>
                <w:color w:val="auto"/>
              </w:rPr>
            </w:pPr>
          </w:p>
        </w:tc>
      </w:tr>
      <w:tr>
        <w:trPr>
          <w:trHeight w:val="199"/>
        </w:trPr>
        <w:tc>
          <w:tcPr>
            <w:tcW w:w="7520" w:type="dxa"/>
            <w:vAlign w:val="bottom"/>
          </w:tcPr>
          <w:p>
            <w:pPr>
              <w:ind w:left="140"/>
              <w:spacing w:after="0" w:line="199" w:lineRule="exact"/>
              <w:rPr>
                <w:sz w:val="20"/>
                <w:szCs w:val="20"/>
                <w:color w:val="auto"/>
              </w:rPr>
            </w:pPr>
            <w:r>
              <w:rPr>
                <w:rFonts w:ascii="Times New Roman" w:cs="Times New Roman" w:eastAsia="Times New Roman" w:hAnsi="Times New Roman"/>
                <w:sz w:val="14"/>
                <w:szCs w:val="14"/>
                <w:color w:val="auto"/>
              </w:rPr>
              <w:t>Street Retail</w:t>
            </w:r>
            <w:r>
              <w:rPr>
                <w:rFonts w:ascii="Times New Roman" w:cs="Times New Roman" w:eastAsia="Times New Roman" w:hAnsi="Times New Roman"/>
                <w:sz w:val="18"/>
                <w:szCs w:val="18"/>
                <w:b w:val="1"/>
                <w:bCs w:val="1"/>
                <w:color w:val="auto"/>
                <w:vertAlign w:val="superscript"/>
              </w:rPr>
              <w:t>(1)</w:t>
            </w:r>
          </w:p>
        </w:tc>
        <w:tc>
          <w:tcPr>
            <w:tcW w:w="3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44,398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40,169</w:t>
            </w:r>
          </w:p>
        </w:tc>
        <w:tc>
          <w:tcPr>
            <w:tcW w:w="0" w:type="dxa"/>
            <w:vAlign w:val="bottom"/>
          </w:tcPr>
          <w:p>
            <w:pPr>
              <w:spacing w:after="0"/>
              <w:rPr>
                <w:sz w:val="1"/>
                <w:szCs w:val="1"/>
                <w:color w:val="auto"/>
              </w:rPr>
            </w:pPr>
          </w:p>
        </w:tc>
      </w:tr>
      <w:tr>
        <w:trPr>
          <w:trHeight w:val="19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5,989</w:t>
            </w:r>
          </w:p>
        </w:tc>
        <w:tc>
          <w:tcPr>
            <w:tcW w:w="0" w:type="dxa"/>
            <w:vAlign w:val="bottom"/>
          </w:tcPr>
          <w:p>
            <w:pPr>
              <w:spacing w:after="0"/>
              <w:rPr>
                <w:sz w:val="1"/>
                <w:szCs w:val="1"/>
                <w:color w:val="auto"/>
              </w:rPr>
            </w:pPr>
          </w:p>
        </w:tc>
      </w:tr>
      <w:tr>
        <w:trPr>
          <w:trHeight w:val="199"/>
        </w:trPr>
        <w:tc>
          <w:tcPr>
            <w:tcW w:w="7520" w:type="dxa"/>
            <w:vAlign w:val="bottom"/>
            <w:tcBorders>
              <w:bottom w:val="single" w:sz="8" w:color="CCEEFF"/>
            </w:tcBorders>
          </w:tcPr>
          <w:p>
            <w:pPr>
              <w:ind w:left="140"/>
              <w:spacing w:after="0" w:line="199" w:lineRule="exact"/>
              <w:rPr>
                <w:sz w:val="20"/>
                <w:szCs w:val="20"/>
                <w:color w:val="auto"/>
              </w:rPr>
            </w:pPr>
            <w:r>
              <w:rPr>
                <w:rFonts w:ascii="Times New Roman" w:cs="Times New Roman" w:eastAsia="Times New Roman" w:hAnsi="Times New Roman"/>
                <w:sz w:val="14"/>
                <w:szCs w:val="14"/>
                <w:color w:val="auto"/>
              </w:rPr>
              <w:t>Alexander's</w:t>
            </w:r>
            <w:r>
              <w:rPr>
                <w:rFonts w:ascii="Times New Roman" w:cs="Times New Roman" w:eastAsia="Times New Roman" w:hAnsi="Times New Roman"/>
                <w:sz w:val="18"/>
                <w:szCs w:val="18"/>
                <w:b w:val="1"/>
                <w:bCs w:val="1"/>
                <w:color w:val="auto"/>
                <w:vertAlign w:val="superscript"/>
              </w:rPr>
              <w:t>(2)</w:t>
            </w: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11,227</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9,509</w:t>
            </w:r>
          </w:p>
        </w:tc>
        <w:tc>
          <w:tcPr>
            <w:tcW w:w="0" w:type="dxa"/>
            <w:vAlign w:val="bottom"/>
          </w:tcPr>
          <w:p>
            <w:pPr>
              <w:spacing w:after="0"/>
              <w:rPr>
                <w:sz w:val="1"/>
                <w:szCs w:val="1"/>
                <w:color w:val="auto"/>
              </w:rPr>
            </w:pPr>
          </w:p>
        </w:tc>
      </w:tr>
      <w:tr>
        <w:trPr>
          <w:trHeight w:val="192"/>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New York</w:t>
            </w:r>
          </w:p>
        </w:tc>
        <w:tc>
          <w:tcPr>
            <w:tcW w:w="3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217,998</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198,418</w:t>
            </w:r>
          </w:p>
        </w:tc>
        <w:tc>
          <w:tcPr>
            <w:tcW w:w="0" w:type="dxa"/>
            <w:vAlign w:val="bottom"/>
          </w:tcPr>
          <w:p>
            <w:pPr>
              <w:spacing w:after="0"/>
              <w:rPr>
                <w:sz w:val="1"/>
                <w:szCs w:val="1"/>
                <w:color w:val="auto"/>
              </w:rPr>
            </w:pPr>
          </w:p>
        </w:tc>
      </w:tr>
      <w:tr>
        <w:trPr>
          <w:trHeight w:val="313"/>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THE MART</w:t>
            </w: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13,267</w:t>
            </w:r>
          </w:p>
        </w:tc>
        <w:tc>
          <w:tcPr>
            <w:tcW w:w="0" w:type="dxa"/>
            <w:vAlign w:val="bottom"/>
          </w:tcPr>
          <w:p>
            <w:pPr>
              <w:spacing w:after="0"/>
              <w:rPr>
                <w:sz w:val="1"/>
                <w:szCs w:val="1"/>
                <w:color w:val="auto"/>
              </w:rPr>
            </w:pPr>
          </w:p>
        </w:tc>
      </w:tr>
      <w:tr>
        <w:trPr>
          <w:trHeight w:val="191"/>
        </w:trPr>
        <w:tc>
          <w:tcPr>
            <w:tcW w:w="7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555 California Street</w:t>
            </w:r>
          </w:p>
        </w:tc>
        <w:tc>
          <w:tcPr>
            <w:tcW w:w="3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16,455</w:t>
            </w:r>
          </w:p>
        </w:tc>
        <w:tc>
          <w:tcPr>
            <w:tcW w:w="0" w:type="dxa"/>
            <w:vAlign w:val="bottom"/>
          </w:tcPr>
          <w:p>
            <w:pPr>
              <w:spacing w:after="0"/>
              <w:rPr>
                <w:sz w:val="1"/>
                <w:szCs w:val="1"/>
                <w:color w:val="auto"/>
              </w:rPr>
            </w:pPr>
          </w:p>
        </w:tc>
      </w:tr>
      <w:tr>
        <w:trPr>
          <w:trHeight w:val="206"/>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investments</w:t>
            </w:r>
          </w:p>
        </w:tc>
        <w:tc>
          <w:tcPr>
            <w:tcW w:w="3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9,978</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7,790</w:t>
            </w:r>
          </w:p>
        </w:tc>
        <w:tc>
          <w:tcPr>
            <w:tcW w:w="0" w:type="dxa"/>
            <w:vAlign w:val="bottom"/>
          </w:tcPr>
          <w:p>
            <w:pPr>
              <w:spacing w:after="0"/>
              <w:rPr>
                <w:sz w:val="1"/>
                <w:szCs w:val="1"/>
                <w:color w:val="auto"/>
              </w:rPr>
            </w:pPr>
          </w:p>
        </w:tc>
      </w:tr>
      <w:tr>
        <w:trPr>
          <w:trHeight w:val="185"/>
        </w:trPr>
        <w:tc>
          <w:tcPr>
            <w:tcW w:w="7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Other</w:t>
            </w: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37,661</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37,512</w:t>
            </w:r>
          </w:p>
        </w:tc>
        <w:tc>
          <w:tcPr>
            <w:tcW w:w="0" w:type="dxa"/>
            <w:vAlign w:val="bottom"/>
          </w:tcPr>
          <w:p>
            <w:pPr>
              <w:spacing w:after="0"/>
              <w:rPr>
                <w:sz w:val="1"/>
                <w:szCs w:val="1"/>
                <w:color w:val="auto"/>
              </w:rPr>
            </w:pPr>
          </w:p>
        </w:tc>
      </w:tr>
      <w:tr>
        <w:trPr>
          <w:trHeight w:val="146"/>
        </w:trPr>
        <w:tc>
          <w:tcPr>
            <w:tcW w:w="7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 - cash basis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255,659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235,930</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b w:val="1"/>
                <w:bCs w:val="1"/>
                <w:color w:val="auto"/>
              </w:rPr>
              <w:t>____________________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both"/>
        <w:ind w:left="320" w:hanging="314"/>
        <w:spacing w:after="0" w:line="255" w:lineRule="auto"/>
        <w:tabs>
          <w:tab w:leader="none" w:pos="312"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During the first quarter of 2026, we reclassified retail assets located at the base of our office buildings from the retail subsegment to the office subsegment. The retail subsegment was renamed “Street Retail” and now comprises standalone retail properties and mixed-use assets with prominent retail components, including related signage, with a concentration on High Streets such as Fifth Avenue, Madison Avenue and Times Square. Prior period balances have been reclassified to conform to current period presentation. This change applies only to net operating income; all other operating metrics, including occupancy, leasing activity, and lease expirations continue to be presented based on space type.</w:t>
      </w:r>
    </w:p>
    <w:p>
      <w:pPr>
        <w:spacing w:after="0" w:line="1"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2026 includes termination income at the Rego Park shopping center.</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Reconciliation of Net (Loss) Income to NOI At Share and NOI At Share - Cash Basis for the Three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Below is a reconciliation of net (loss) income to NOI at share and NOI at share - cash basis for the three months ended September 30, 2026 and 2025.</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40" w:type="dxa"/>
            <w:vAlign w:val="bottom"/>
          </w:tcPr>
          <w:p>
            <w:pPr>
              <w:spacing w:after="0"/>
              <w:rPr>
                <w:sz w:val="16"/>
                <w:szCs w:val="16"/>
                <w:color w:val="auto"/>
              </w:rPr>
            </w:pPr>
          </w:p>
        </w:tc>
        <w:tc>
          <w:tcPr>
            <w:tcW w:w="3200" w:type="dxa"/>
            <w:vAlign w:val="bottom"/>
            <w:gridSpan w:val="4"/>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r>
      <w:tr>
        <w:trPr>
          <w:trHeight w:val="24"/>
        </w:trPr>
        <w:tc>
          <w:tcPr>
            <w:tcW w:w="7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78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(45,964)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19,239</w:t>
            </w: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169,045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117,122</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34,705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37,490</w:t>
            </w: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 related costs and other</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partially owned entities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(21,940)</w:t>
            </w: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investment income, net</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(22,413)</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debt expense</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88,714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84,459</w:t>
            </w: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(5,589)</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from partially owned entities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88,808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64,884</w:t>
            </w:r>
          </w:p>
        </w:tc>
      </w:tr>
      <w:tr>
        <w:trPr>
          <w:trHeight w:val="19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NOI attributable to noncontrolling interests in consolidated subsidiaries</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(10,890)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(10,139)</w:t>
            </w: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300,054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266,676</w:t>
            </w:r>
          </w:p>
        </w:tc>
      </w:tr>
      <w:tr>
        <w:trPr>
          <w:trHeight w:val="19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Non-cash adjustments for straight-line rents, amortization of acquired below-market leases, net, and other</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(44,395)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(30,746)</w:t>
            </w:r>
          </w:p>
        </w:tc>
      </w:tr>
      <w:tr>
        <w:trPr>
          <w:trHeight w:val="224"/>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 - cash basis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255,659</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235,930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NOI At Share by Region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3620" w:type="dxa"/>
            <w:vAlign w:val="bottom"/>
            <w:gridSpan w:val="3"/>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r>
      <w:tr>
        <w:trPr>
          <w:trHeight w:val="24"/>
        </w:trPr>
        <w:tc>
          <w:tcPr>
            <w:tcW w:w="76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85"/>
        </w:trPr>
        <w:tc>
          <w:tcPr>
            <w:tcW w:w="7620" w:type="dxa"/>
            <w:vAlign w:val="bottom"/>
          </w:tcPr>
          <w:p>
            <w:pPr>
              <w:spacing w:after="0"/>
              <w:rPr>
                <w:sz w:val="16"/>
                <w:szCs w:val="16"/>
                <w:color w:val="auto"/>
              </w:rPr>
            </w:pPr>
          </w:p>
        </w:tc>
        <w:tc>
          <w:tcPr>
            <w:tcW w:w="176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76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1"/>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4"/>
        </w:trPr>
        <w:tc>
          <w:tcPr>
            <w:tcW w:w="76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19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York City metropolitan area</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91"/>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Chicago, IL</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San Francisco, CA</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2"/>
        </w:trPr>
        <w:tc>
          <w:tcPr>
            <w:tcW w:w="7620" w:type="dxa"/>
            <w:vAlign w:val="bottom"/>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7"/>
        </w:trPr>
        <w:tc>
          <w:tcPr>
            <w:tcW w:w="76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September 30, 2026 Compared to September 30, 2025</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Revenues</w:t>
      </w:r>
    </w:p>
    <w:p>
      <w:pPr>
        <w:spacing w:after="0" w:line="5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Our revenues were $467,657,000 for the three months ended September 30, 2026, compared to $453,700,000 for the prior year’s quarter, an increase of $13,957,000. Below are the details of the increase (decrease) by segment: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420" w:type="dxa"/>
            <w:vAlign w:val="bottom"/>
          </w:tcPr>
          <w:p>
            <w:pPr>
              <w:spacing w:after="0"/>
              <w:rPr>
                <w:sz w:val="16"/>
                <w:szCs w:val="16"/>
                <w:color w:val="auto"/>
              </w:rPr>
            </w:pP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400" w:type="dxa"/>
            <w:vAlign w:val="bottom"/>
          </w:tcPr>
          <w:p>
            <w:pPr>
              <w:spacing w:after="0"/>
              <w:rPr>
                <w:sz w:val="16"/>
                <w:szCs w:val="16"/>
                <w:color w:val="auto"/>
              </w:rPr>
            </w:pPr>
          </w:p>
        </w:tc>
        <w:tc>
          <w:tcPr>
            <w:tcW w:w="136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4"/>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(Decrease) increase due to:</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57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Rental revenues:</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Acquisitions, dispositions and other</w:t>
            </w: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0" w:type="dxa"/>
            <w:vAlign w:val="bottom"/>
          </w:tcPr>
          <w:p>
            <w:pPr>
              <w:spacing w:after="0"/>
              <w:rPr>
                <w:sz w:val="1"/>
                <w:szCs w:val="1"/>
                <w:color w:val="auto"/>
              </w:rPr>
            </w:pPr>
          </w:p>
        </w:tc>
      </w:tr>
      <w:tr>
        <w:trPr>
          <w:trHeight w:val="191"/>
        </w:trPr>
        <w:tc>
          <w:tcPr>
            <w:tcW w:w="5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Development and redevelopment</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Trade shows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Same store operations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27,094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27,156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99"/>
        </w:trPr>
        <w:tc>
          <w:tcPr>
            <w:tcW w:w="574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20,887</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172"/>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Fee and other income:</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BMS cleaning fees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191"/>
        </w:trPr>
        <w:tc>
          <w:tcPr>
            <w:tcW w:w="5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Management and leasing fees</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99"/>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income</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(6,567)</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(6,329)</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199"/>
        </w:trPr>
        <w:tc>
          <w:tcPr>
            <w:tcW w:w="5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increase (decrease) in revenues</w:t>
            </w: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Expenses</w:t>
      </w:r>
    </w:p>
    <w:p>
      <w:pPr>
        <w:spacing w:after="0" w:line="2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expenses were $445,331,000 for the three months ended September 30, 2026, compared to $406,700,000 for the prior year’s quarter, an increase of $38,631,000. Below are the details of the increase (decrease) by segment:</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400" w:type="dxa"/>
            <w:vAlign w:val="bottom"/>
          </w:tcPr>
          <w:p>
            <w:pPr>
              <w:spacing w:after="0"/>
              <w:rPr>
                <w:sz w:val="16"/>
                <w:szCs w:val="16"/>
                <w:color w:val="auto"/>
              </w:rPr>
            </w:pP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6"/>
                <w:szCs w:val="16"/>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400" w:type="dxa"/>
            <w:vAlign w:val="bottom"/>
          </w:tcPr>
          <w:p>
            <w:pPr>
              <w:spacing w:after="0"/>
              <w:rPr>
                <w:sz w:val="16"/>
                <w:szCs w:val="16"/>
                <w:color w:val="auto"/>
              </w:rPr>
            </w:pPr>
          </w:p>
        </w:tc>
        <w:tc>
          <w:tcPr>
            <w:tcW w:w="136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4"/>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Increase (decrease) due to:</w:t>
            </w: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57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Acquisitions, dispositions and other</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Development and redevelopment</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Non-reimbursable expenses</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Trade shows</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0" w:type="dxa"/>
            <w:vAlign w:val="bottom"/>
          </w:tcPr>
          <w:p>
            <w:pPr>
              <w:spacing w:after="0"/>
              <w:rPr>
                <w:sz w:val="1"/>
                <w:szCs w:val="1"/>
                <w:color w:val="auto"/>
              </w:rPr>
            </w:pPr>
          </w:p>
        </w:tc>
      </w:tr>
      <w:tr>
        <w:trPr>
          <w:trHeight w:val="206"/>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BMS expenses</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192"/>
        </w:trPr>
        <w:tc>
          <w:tcPr>
            <w:tcW w:w="5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Same store operations</w:t>
            </w: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r>
        <w:trPr>
          <w:trHeight w:val="199"/>
        </w:trPr>
        <w:tc>
          <w:tcPr>
            <w:tcW w:w="57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0" w:type="dxa"/>
            <w:vAlign w:val="bottom"/>
          </w:tcPr>
          <w:p>
            <w:pPr>
              <w:spacing w:after="0"/>
              <w:rPr>
                <w:sz w:val="1"/>
                <w:szCs w:val="1"/>
                <w:color w:val="auto"/>
              </w:rPr>
            </w:pPr>
          </w:p>
        </w:tc>
      </w:tr>
      <w:tr>
        <w:trPr>
          <w:trHeight w:val="172"/>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Acquisitions, dispositions and other</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0" w:type="dxa"/>
            <w:vAlign w:val="bottom"/>
          </w:tcPr>
          <w:p>
            <w:pPr>
              <w:spacing w:after="0"/>
              <w:rPr>
                <w:sz w:val="1"/>
                <w:szCs w:val="1"/>
                <w:color w:val="auto"/>
              </w:rPr>
            </w:pPr>
          </w:p>
        </w:tc>
      </w:tr>
      <w:tr>
        <w:trPr>
          <w:trHeight w:val="191"/>
        </w:trPr>
        <w:tc>
          <w:tcPr>
            <w:tcW w:w="5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Development and redevelopment</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49,395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49,395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Same store operations</w:t>
            </w: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5,093</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(3,275)</w:t>
            </w:r>
          </w:p>
        </w:tc>
        <w:tc>
          <w:tcPr>
            <w:tcW w:w="0" w:type="dxa"/>
            <w:vAlign w:val="bottom"/>
          </w:tcPr>
          <w:p>
            <w:pPr>
              <w:spacing w:after="0"/>
              <w:rPr>
                <w:sz w:val="1"/>
                <w:szCs w:val="1"/>
                <w:color w:val="auto"/>
              </w:rPr>
            </w:pPr>
          </w:p>
        </w:tc>
      </w:tr>
      <w:tr>
        <w:trPr>
          <w:trHeight w:val="192"/>
        </w:trPr>
        <w:tc>
          <w:tcPr>
            <w:tcW w:w="5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54,488</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0" w:type="dxa"/>
            <w:vAlign w:val="bottom"/>
          </w:tcPr>
          <w:p>
            <w:pPr>
              <w:spacing w:after="0"/>
              <w:rPr>
                <w:sz w:val="1"/>
                <w:szCs w:val="1"/>
                <w:color w:val="auto"/>
              </w:rPr>
            </w:pPr>
          </w:p>
        </w:tc>
      </w:tr>
      <w:tr>
        <w:trPr>
          <w:trHeight w:val="411"/>
        </w:trPr>
        <w:tc>
          <w:tcPr>
            <w:tcW w:w="5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General and administrative</w:t>
            </w:r>
          </w:p>
        </w:tc>
        <w:tc>
          <w:tcPr>
            <w:tcW w:w="4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w:t>
            </w:r>
          </w:p>
        </w:tc>
        <w:tc>
          <w:tcPr>
            <w:tcW w:w="0" w:type="dxa"/>
            <w:vAlign w:val="bottom"/>
          </w:tcPr>
          <w:p>
            <w:pPr>
              <w:spacing w:after="0"/>
              <w:rPr>
                <w:sz w:val="1"/>
                <w:szCs w:val="1"/>
                <w:color w:val="auto"/>
              </w:rPr>
            </w:pPr>
          </w:p>
        </w:tc>
      </w:tr>
      <w:tr>
        <w:trPr>
          <w:trHeight w:val="198"/>
        </w:trPr>
        <w:tc>
          <w:tcPr>
            <w:tcW w:w="5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deferred compensation plan liability</w:t>
            </w: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(11,089)</w:t>
            </w:r>
          </w:p>
        </w:tc>
        <w:tc>
          <w:tcPr>
            <w:tcW w:w="0" w:type="dxa"/>
            <w:vAlign w:val="bottom"/>
          </w:tcPr>
          <w:p>
            <w:pPr>
              <w:spacing w:after="0"/>
              <w:rPr>
                <w:sz w:val="1"/>
                <w:szCs w:val="1"/>
                <w:color w:val="auto"/>
              </w:rPr>
            </w:pPr>
          </w:p>
        </w:tc>
      </w:tr>
      <w:tr>
        <w:trPr>
          <w:trHeight w:val="198"/>
        </w:trPr>
        <w:tc>
          <w:tcPr>
            <w:tcW w:w="57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 related costs and other</w:t>
            </w:r>
          </w:p>
        </w:tc>
        <w:tc>
          <w:tcPr>
            <w:tcW w:w="4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0" w:type="dxa"/>
            <w:vAlign w:val="bottom"/>
          </w:tcPr>
          <w:p>
            <w:pPr>
              <w:spacing w:after="0"/>
              <w:rPr>
                <w:sz w:val="1"/>
                <w:szCs w:val="1"/>
                <w:color w:val="auto"/>
              </w:rPr>
            </w:pPr>
          </w:p>
        </w:tc>
      </w:tr>
      <w:tr>
        <w:trPr>
          <w:trHeight w:val="198"/>
        </w:trPr>
        <w:tc>
          <w:tcPr>
            <w:tcW w:w="5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increase (decrease) in expenses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38,631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56,244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(17,613)</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September 30, 2026 Compared to September 30, 2025 - continued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from Partially Owned Entities</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are the components of income from partially owned entities.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 Ownership as</w:t>
            </w:r>
          </w:p>
        </w:tc>
        <w:tc>
          <w:tcPr>
            <w:tcW w:w="240" w:type="dxa"/>
            <w:vAlign w:val="bottom"/>
          </w:tcPr>
          <w:p>
            <w:pPr>
              <w:spacing w:after="0"/>
              <w:rPr>
                <w:sz w:val="16"/>
                <w:szCs w:val="16"/>
                <w:color w:val="auto"/>
              </w:rPr>
            </w:pPr>
          </w:p>
        </w:tc>
        <w:tc>
          <w:tcPr>
            <w:tcW w:w="3200" w:type="dxa"/>
            <w:vAlign w:val="bottom"/>
            <w:gridSpan w:val="4"/>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0" w:type="dxa"/>
            <w:vAlign w:val="bottom"/>
          </w:tcPr>
          <w:p>
            <w:pPr>
              <w:spacing w:after="0"/>
              <w:rPr>
                <w:sz w:val="1"/>
                <w:szCs w:val="1"/>
                <w:color w:val="auto"/>
              </w:rPr>
            </w:pPr>
          </w:p>
        </w:tc>
      </w:tr>
      <w:tr>
        <w:trPr>
          <w:trHeight w:val="24"/>
        </w:trPr>
        <w:tc>
          <w:tcPr>
            <w:tcW w:w="2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4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of September 30, 2026</w:t>
            </w:r>
          </w:p>
        </w:tc>
        <w:tc>
          <w:tcPr>
            <w:tcW w:w="240" w:type="dxa"/>
            <w:vAlign w:val="bottom"/>
          </w:tcPr>
          <w:p>
            <w:pPr>
              <w:spacing w:after="0"/>
              <w:rPr>
                <w:sz w:val="16"/>
                <w:szCs w:val="16"/>
                <w:color w:val="auto"/>
              </w:rPr>
            </w:pPr>
          </w:p>
        </w:tc>
        <w:tc>
          <w:tcPr>
            <w:tcW w:w="142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1"/>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Our share of net income (loss):</w:t>
            </w:r>
          </w:p>
        </w:tc>
        <w:tc>
          <w:tcPr>
            <w:tcW w:w="1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1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Fifth Avenue and Times Square JV:</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40" w:type="dxa"/>
            <w:vAlign w:val="bottom"/>
            <w:shd w:val="clear" w:color="auto" w:fill="CCEEFF"/>
          </w:tcPr>
          <w:p>
            <w:pPr>
              <w:spacing w:after="0"/>
              <w:rPr>
                <w:sz w:val="17"/>
                <w:szCs w:val="17"/>
                <w:color w:val="auto"/>
              </w:rPr>
            </w:pPr>
          </w:p>
        </w:tc>
        <w:tc>
          <w:tcPr>
            <w:tcW w:w="5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Equity in net income</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w:t>
            </w:r>
          </w:p>
        </w:tc>
        <w:tc>
          <w:tcPr>
            <w:tcW w:w="0" w:type="dxa"/>
            <w:vAlign w:val="bottom"/>
          </w:tcPr>
          <w:p>
            <w:pPr>
              <w:spacing w:after="0"/>
              <w:rPr>
                <w:sz w:val="1"/>
                <w:szCs w:val="1"/>
                <w:color w:val="auto"/>
              </w:rPr>
            </w:pPr>
          </w:p>
        </w:tc>
      </w:tr>
      <w:tr>
        <w:trPr>
          <w:trHeight w:val="192"/>
        </w:trPr>
        <w:tc>
          <w:tcPr>
            <w:tcW w:w="240" w:type="dxa"/>
            <w:vAlign w:val="bottom"/>
            <w:tcBorders>
              <w:bottom w:val="single" w:sz="8" w:color="CCEEFF"/>
            </w:tcBorders>
          </w:tcPr>
          <w:p>
            <w:pPr>
              <w:spacing w:after="0"/>
              <w:rPr>
                <w:sz w:val="16"/>
                <w:szCs w:val="16"/>
                <w:color w:val="auto"/>
              </w:rPr>
            </w:pPr>
          </w:p>
        </w:tc>
        <w:tc>
          <w:tcPr>
            <w:tcW w:w="58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Return on preferred equity, net of our share of the expense</w:t>
            </w:r>
          </w:p>
        </w:tc>
        <w:tc>
          <w:tcPr>
            <w:tcW w:w="15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6,241</w:t>
            </w:r>
          </w:p>
        </w:tc>
        <w:tc>
          <w:tcPr>
            <w:tcW w:w="0" w:type="dxa"/>
            <w:vAlign w:val="bottom"/>
          </w:tcPr>
          <w:p>
            <w:pPr>
              <w:spacing w:after="0"/>
              <w:rPr>
                <w:sz w:val="1"/>
                <w:szCs w:val="1"/>
                <w:color w:val="auto"/>
              </w:rPr>
            </w:pPr>
          </w:p>
        </w:tc>
      </w:tr>
      <w:tr>
        <w:trPr>
          <w:trHeight w:val="199"/>
        </w:trPr>
        <w:tc>
          <w:tcPr>
            <w:tcW w:w="240" w:type="dxa"/>
            <w:vAlign w:val="bottom"/>
            <w:shd w:val="clear" w:color="auto" w:fill="CCEEFF"/>
          </w:tcPr>
          <w:p>
            <w:pPr>
              <w:spacing w:after="0"/>
              <w:rPr>
                <w:sz w:val="17"/>
                <w:szCs w:val="17"/>
                <w:color w:val="auto"/>
              </w:rPr>
            </w:pPr>
          </w:p>
        </w:tc>
        <w:tc>
          <w:tcPr>
            <w:tcW w:w="58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8,527</w:t>
            </w:r>
          </w:p>
        </w:tc>
        <w:tc>
          <w:tcPr>
            <w:tcW w:w="0" w:type="dxa"/>
            <w:vAlign w:val="bottom"/>
          </w:tcPr>
          <w:p>
            <w:pPr>
              <w:spacing w:after="0"/>
              <w:rPr>
                <w:sz w:val="1"/>
                <w:szCs w:val="1"/>
                <w:color w:val="auto"/>
              </w:rPr>
            </w:pPr>
          </w:p>
        </w:tc>
      </w:tr>
      <w:tr>
        <w:trPr>
          <w:trHeight w:val="199"/>
        </w:trPr>
        <w:tc>
          <w:tcPr>
            <w:tcW w:w="6120" w:type="dxa"/>
            <w:vAlign w:val="bottom"/>
            <w:gridSpan w:val="2"/>
          </w:tcPr>
          <w:p>
            <w:pPr>
              <w:ind w:left="100"/>
              <w:spacing w:after="0" w:line="199" w:lineRule="exact"/>
              <w:rPr>
                <w:sz w:val="20"/>
                <w:szCs w:val="20"/>
                <w:color w:val="auto"/>
              </w:rPr>
            </w:pPr>
            <w:r>
              <w:rPr>
                <w:rFonts w:ascii="Times New Roman" w:cs="Times New Roman" w:eastAsia="Times New Roman" w:hAnsi="Times New Roman"/>
                <w:sz w:val="14"/>
                <w:szCs w:val="14"/>
                <w:color w:val="auto"/>
              </w:rPr>
              <w:t>Alexander's</w:t>
            </w:r>
            <w:r>
              <w:rPr>
                <w:rFonts w:ascii="Times New Roman" w:cs="Times New Roman" w:eastAsia="Times New Roman" w:hAnsi="Times New Roman"/>
                <w:sz w:val="18"/>
                <w:szCs w:val="18"/>
                <w:b w:val="1"/>
                <w:bCs w:val="1"/>
                <w:color w:val="auto"/>
                <w:vertAlign w:val="superscript"/>
              </w:rPr>
              <w:t>(1)</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3,474</w:t>
            </w:r>
          </w:p>
        </w:tc>
        <w:tc>
          <w:tcPr>
            <w:tcW w:w="0" w:type="dxa"/>
            <w:vAlign w:val="bottom"/>
          </w:tcPr>
          <w:p>
            <w:pPr>
              <w:spacing w:after="0"/>
              <w:rPr>
                <w:sz w:val="1"/>
                <w:szCs w:val="1"/>
                <w:color w:val="auto"/>
              </w:rPr>
            </w:pPr>
          </w:p>
        </w:tc>
      </w:tr>
      <w:tr>
        <w:trPr>
          <w:trHeight w:val="199"/>
        </w:trPr>
        <w:tc>
          <w:tcPr>
            <w:tcW w:w="6120" w:type="dxa"/>
            <w:vAlign w:val="bottom"/>
            <w:gridSpan w:val="2"/>
            <w:shd w:val="clear" w:color="auto" w:fill="CCEEFF"/>
          </w:tcPr>
          <w:p>
            <w:pPr>
              <w:ind w:left="100"/>
              <w:spacing w:after="0" w:line="199" w:lineRule="exact"/>
              <w:rPr>
                <w:sz w:val="20"/>
                <w:szCs w:val="20"/>
                <w:color w:val="auto"/>
              </w:rPr>
            </w:pPr>
            <w:r>
              <w:rPr>
                <w:rFonts w:ascii="Times New Roman" w:cs="Times New Roman" w:eastAsia="Times New Roman" w:hAnsi="Times New Roman"/>
                <w:sz w:val="14"/>
                <w:szCs w:val="14"/>
                <w:color w:val="auto"/>
              </w:rPr>
              <w:t xml:space="preserve">Partially owned office buildings </w:t>
            </w:r>
            <w:r>
              <w:rPr>
                <w:rFonts w:ascii="Times New Roman" w:cs="Times New Roman" w:eastAsia="Times New Roman" w:hAnsi="Times New Roman"/>
                <w:sz w:val="18"/>
                <w:szCs w:val="18"/>
                <w:b w:val="1"/>
                <w:bCs w:val="1"/>
                <w:color w:val="auto"/>
                <w:vertAlign w:val="superscript"/>
              </w:rPr>
              <w:t>(2) (3)</w:t>
            </w:r>
          </w:p>
        </w:tc>
        <w:tc>
          <w:tcPr>
            <w:tcW w:w="1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Various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6,953</w:t>
            </w:r>
          </w:p>
        </w:tc>
        <w:tc>
          <w:tcPr>
            <w:tcW w:w="0" w:type="dxa"/>
            <w:vAlign w:val="bottom"/>
          </w:tcPr>
          <w:p>
            <w:pPr>
              <w:spacing w:after="0"/>
              <w:rPr>
                <w:sz w:val="1"/>
                <w:szCs w:val="1"/>
                <w:color w:val="auto"/>
              </w:rPr>
            </w:pPr>
          </w:p>
        </w:tc>
      </w:tr>
      <w:tr>
        <w:trPr>
          <w:trHeight w:val="199"/>
        </w:trPr>
        <w:tc>
          <w:tcPr>
            <w:tcW w:w="6120" w:type="dxa"/>
            <w:vAlign w:val="bottom"/>
            <w:tcBorders>
              <w:bottom w:val="single" w:sz="8" w:color="CCEEFF"/>
            </w:tcBorders>
            <w:gridSpan w:val="2"/>
          </w:tcPr>
          <w:p>
            <w:pPr>
              <w:ind w:left="100"/>
              <w:spacing w:after="0" w:line="199" w:lineRule="exact"/>
              <w:rPr>
                <w:sz w:val="20"/>
                <w:szCs w:val="20"/>
                <w:color w:val="auto"/>
              </w:rPr>
            </w:pPr>
            <w:r>
              <w:rPr>
                <w:rFonts w:ascii="Times New Roman" w:cs="Times New Roman" w:eastAsia="Times New Roman" w:hAnsi="Times New Roman"/>
                <w:sz w:val="14"/>
                <w:szCs w:val="14"/>
                <w:color w:val="auto"/>
              </w:rPr>
              <w:t>Other investments</w:t>
            </w:r>
            <w:r>
              <w:rPr>
                <w:rFonts w:ascii="Times New Roman" w:cs="Times New Roman" w:eastAsia="Times New Roman" w:hAnsi="Times New Roman"/>
                <w:sz w:val="18"/>
                <w:szCs w:val="18"/>
                <w:b w:val="1"/>
                <w:bCs w:val="1"/>
                <w:color w:val="auto"/>
                <w:vertAlign w:val="superscript"/>
              </w:rPr>
              <w:t>(4)</w:t>
            </w:r>
          </w:p>
        </w:tc>
        <w:tc>
          <w:tcPr>
            <w:tcW w:w="16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Various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5,298</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2,986</w:t>
            </w:r>
          </w:p>
        </w:tc>
        <w:tc>
          <w:tcPr>
            <w:tcW w:w="0" w:type="dxa"/>
            <w:vAlign w:val="bottom"/>
          </w:tcPr>
          <w:p>
            <w:pPr>
              <w:spacing w:after="0"/>
              <w:rPr>
                <w:sz w:val="1"/>
                <w:szCs w:val="1"/>
                <w:color w:val="auto"/>
              </w:rPr>
            </w:pPr>
          </w:p>
        </w:tc>
      </w:tr>
      <w:tr>
        <w:trPr>
          <w:trHeight w:val="210"/>
        </w:trPr>
        <w:tc>
          <w:tcPr>
            <w:tcW w:w="240" w:type="dxa"/>
            <w:vAlign w:val="bottom"/>
            <w:tcBorders>
              <w:bottom w:val="single" w:sz="8" w:color="CCEEFF"/>
            </w:tcBorders>
            <w:shd w:val="clear" w:color="auto" w:fill="CCEEFF"/>
          </w:tcPr>
          <w:p>
            <w:pPr>
              <w:spacing w:after="0"/>
              <w:rPr>
                <w:sz w:val="17"/>
                <w:szCs w:val="17"/>
                <w:color w:val="auto"/>
              </w:rPr>
            </w:pPr>
          </w:p>
        </w:tc>
        <w:tc>
          <w:tcPr>
            <w:tcW w:w="58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23,318</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21,940</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____________________</w:t>
            </w: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120" w:type="dxa"/>
            <w:vAlign w:val="bottom"/>
            <w:gridSpan w:val="2"/>
            <w:vMerge w:val="continue"/>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w:t>
            </w:r>
          </w:p>
        </w:tc>
        <w:tc>
          <w:tcPr>
            <w:tcW w:w="5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2026 includes termination income at the Rego Park shopping center.</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w:t>
            </w:r>
          </w:p>
        </w:tc>
        <w:tc>
          <w:tcPr>
            <w:tcW w:w="75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Includes interests in 280 Park Avenue, Park Avenue Plaza, 7 West 34th Street, 61 Ninth Avenue, 85 Tenth Avenue and others.</w:t>
            </w: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(3)</w:t>
            </w:r>
          </w:p>
        </w:tc>
        <w:tc>
          <w:tcPr>
            <w:tcW w:w="58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2025 includes the $11,002 gain associated with the sale of 512 West 22nd Street.</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(4)</w:t>
            </w:r>
          </w:p>
        </w:tc>
        <w:tc>
          <w:tcPr>
            <w:tcW w:w="75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Includes interests in Independence Plaza, Sunset Pier 94 Joint Venture (“Pier 94 JV”), Rosslyn Plaza, and others.</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and Other Investment Income, Net</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details of interest and other investment income, net.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40" w:type="dxa"/>
            <w:vAlign w:val="bottom"/>
          </w:tcPr>
          <w:p>
            <w:pPr>
              <w:spacing w:after="0"/>
              <w:rPr>
                <w:sz w:val="16"/>
                <w:szCs w:val="16"/>
                <w:color w:val="auto"/>
              </w:rPr>
            </w:pPr>
          </w:p>
        </w:tc>
        <w:tc>
          <w:tcPr>
            <w:tcW w:w="3200" w:type="dxa"/>
            <w:vAlign w:val="bottom"/>
            <w:gridSpan w:val="4"/>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r>
      <w:tr>
        <w:trPr>
          <w:trHeight w:val="24"/>
        </w:trPr>
        <w:tc>
          <w:tcPr>
            <w:tcW w:w="7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78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on cash and cash equivalents and restricted cash</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11,059</w:t>
            </w: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on loans receivable</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4,199</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real estate fund investments</w:t>
            </w:r>
          </w:p>
        </w:tc>
        <w:tc>
          <w:tcPr>
            <w:tcW w:w="2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5,436</w:t>
            </w:r>
          </w:p>
        </w:tc>
      </w:tr>
      <w:tr>
        <w:trPr>
          <w:trHeight w:val="19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w:t>
            </w:r>
          </w:p>
        </w:tc>
      </w:tr>
      <w:tr>
        <w:trPr>
          <w:trHeight w:val="217"/>
        </w:trPr>
        <w:tc>
          <w:tcPr>
            <w:tcW w:w="78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5,107</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and Debt Expense</w:t>
      </w:r>
    </w:p>
    <w:p>
      <w:pPr>
        <w:spacing w:after="0" w:line="5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Interest and debt expense for the three months ended September 30, 2026 was $88,714,000, compared to $84,459,000 for the prior year’s quarter, an increase of $4,255,000. This was primarily due to (i) $7,218,000 of higher interest expense due to the January 2026 public offering of $500,000,000 5.75% senior unsecured notes, (ii) $6,107,000 of higher interest expense resulting from higher average interest rates, inclusive of the impact of our interest rate hedging instruments, and (iii) $376,000 of higher amortization of deferred financing costs, partially offset by (iv) $6,169,000 of lower amortization of interest rate cap premiums, (v) $2,539,000 of higher capitalized interest, and (vi) $569,000 of lower interest expense resulting from lower average debt balances.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(Expense) Benefit</w:t>
      </w:r>
    </w:p>
    <w:p>
      <w:pPr>
        <w:spacing w:after="0" w:line="5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Income tax expense for the three months ended September 30, 2026 was $3,668,000, compared to a benefit of $5,589,000 for the prior year’s quarter, an increase in expense of $9,257,000. This was primarily due to book to tax differences and higher income tax expense incurred by our taxable REIT subsidiaries.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 Attributable to Noncontrolling Interests in Consolidated Subsidiaries</w:t>
      </w:r>
    </w:p>
    <w:p>
      <w:pPr>
        <w:spacing w:after="0" w:line="5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Net loss attributable to noncontrolling interests in consolidated subsidiaries was $10,180,000 for the three months ended September 30, 2026, compared to $8,912,000 for the prior year’s quarter, an increase in losses of $1,268,000.</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September 30, 2026 Compared to September 30, 2025 - continued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Same Store Net Operating Income At Share</w:t>
      </w:r>
    </w:p>
    <w:p>
      <w:pPr>
        <w:spacing w:after="0" w:line="5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Same store NOI at share represents NOI at share from operations which are in service in both the current and prior year reporting periods. Same store NOI at share - cash basis is same store NOI at share adjusted to exclude straight-line rental income and expense, amortization of acquired below and above market leases, accruals for ground rent resets yet to be determined, and other non-cash adjustments. We use these non-GAAP measures to (i) facilitate meaningful comparisons of the operational performance of our properties and segments, (ii) make decisions on whether to buy, sell or refinance properties, and (iii) compare the performance of our properties and segments to those of our peers. Same store NOI at share and same store NOI at share - cash basis should not be considered alternatives to net income or cash flow from operations and may not be comparable to similarly titled measures employed by other companies. We have recast certain prior period disclosures to reflect changes to the property composition of our reportable segments. See Note 2 - </w:t>
      </w:r>
      <w:r>
        <w:rPr>
          <w:rFonts w:ascii="Times New Roman" w:cs="Times New Roman" w:eastAsia="Times New Roman" w:hAnsi="Times New Roman"/>
          <w:sz w:val="18"/>
          <w:szCs w:val="18"/>
          <w:i w:val="1"/>
          <w:iCs w:val="1"/>
          <w:color w:val="auto"/>
        </w:rPr>
        <w:t>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Presentation </w:t>
      </w:r>
      <w:r>
        <w:rPr>
          <w:rFonts w:ascii="Times New Roman" w:cs="Times New Roman" w:eastAsia="Times New Roman" w:hAnsi="Times New Roman"/>
          <w:sz w:val="18"/>
          <w:szCs w:val="18"/>
          <w:color w:val="auto"/>
        </w:rPr>
        <w:t>to our consolidated financial statements in this quarterly report on Form 10-Q for additional information.</w:t>
      </w:r>
    </w:p>
    <w:p>
      <w:pPr>
        <w:spacing w:after="0" w:line="3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Below are reconciliations of NOI at share to same store NOI at share and NOI at share - cash basis to same store NOI at share - cash basis for our New York segment, THE MART, 555 California Street and other investments for the three months ended September 30, 2026 compared to September 30, 2025.</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60" w:type="dxa"/>
            <w:vAlign w:val="bottom"/>
          </w:tcPr>
          <w:p>
            <w:pPr>
              <w:spacing w:after="0"/>
              <w:rPr>
                <w:sz w:val="13"/>
                <w:szCs w:val="13"/>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160" w:type="dxa"/>
            <w:vAlign w:val="bottom"/>
          </w:tcPr>
          <w:p>
            <w:pPr>
              <w:spacing w:after="0"/>
              <w:rPr>
                <w:sz w:val="13"/>
                <w:szCs w:val="13"/>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THE MART</w:t>
            </w:r>
          </w:p>
        </w:tc>
        <w:tc>
          <w:tcPr>
            <w:tcW w:w="14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555 California</w:t>
            </w:r>
          </w:p>
        </w:tc>
        <w:tc>
          <w:tcPr>
            <w:tcW w:w="260" w:type="dxa"/>
            <w:vAlign w:val="bottom"/>
          </w:tcPr>
          <w:p>
            <w:pPr>
              <w:spacing w:after="0"/>
              <w:rPr>
                <w:sz w:val="13"/>
                <w:szCs w:val="13"/>
                <w:color w:val="auto"/>
              </w:rPr>
            </w:pPr>
          </w:p>
        </w:tc>
        <w:tc>
          <w:tcPr>
            <w:tcW w:w="94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Street</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 for the three months ended September 30, 2026</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300,054</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260,620</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13,948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15,831</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9,655</w:t>
            </w:r>
          </w:p>
        </w:tc>
        <w:tc>
          <w:tcPr>
            <w:tcW w:w="0" w:type="dxa"/>
            <w:vAlign w:val="bottom"/>
          </w:tcPr>
          <w:p>
            <w:pPr>
              <w:spacing w:after="0"/>
              <w:rPr>
                <w:sz w:val="1"/>
                <w:szCs w:val="1"/>
                <w:color w:val="auto"/>
              </w:rPr>
            </w:pPr>
          </w:p>
        </w:tc>
      </w:tr>
      <w:tr>
        <w:trPr>
          <w:trHeight w:val="19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NOI at share from:</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Acquisitions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(12,011)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(12,011)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Dispositions</w:t>
            </w:r>
          </w:p>
        </w:tc>
        <w:tc>
          <w:tcPr>
            <w:tcW w:w="26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Development properties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(3,120)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(3,120)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4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non-same store income, net</w:t>
            </w:r>
          </w:p>
        </w:tc>
        <w:tc>
          <w:tcPr>
            <w:tcW w:w="260" w:type="dxa"/>
            <w:vAlign w:val="bottom"/>
          </w:tcPr>
          <w:p>
            <w:pPr>
              <w:spacing w:after="0"/>
              <w:rPr>
                <w:sz w:val="16"/>
                <w:szCs w:val="16"/>
                <w:color w:val="auto"/>
              </w:rPr>
            </w:pP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(18,121)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(8,356)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(9,655)</w:t>
            </w:r>
          </w:p>
        </w:tc>
        <w:tc>
          <w:tcPr>
            <w:tcW w:w="0" w:type="dxa"/>
            <w:vAlign w:val="bottom"/>
          </w:tcPr>
          <w:p>
            <w:pPr>
              <w:spacing w:after="0"/>
              <w:rPr>
                <w:sz w:val="1"/>
                <w:szCs w:val="1"/>
                <w:color w:val="auto"/>
              </w:rPr>
            </w:pPr>
          </w:p>
        </w:tc>
      </w:tr>
      <w:tr>
        <w:trPr>
          <w:trHeight w:val="224"/>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Same store NOI at share for the three months ended September 30, 2026</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266,871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237,235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13,805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15,831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 for the three months ended September 30, 2025</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266,676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228,142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13,275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17,293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7,966</w:t>
            </w:r>
          </w:p>
        </w:tc>
        <w:tc>
          <w:tcPr>
            <w:tcW w:w="0" w:type="dxa"/>
            <w:vAlign w:val="bottom"/>
          </w:tcPr>
          <w:p>
            <w:pPr>
              <w:spacing w:after="0"/>
              <w:rPr>
                <w:sz w:val="1"/>
                <w:szCs w:val="1"/>
                <w:color w:val="auto"/>
              </w:rPr>
            </w:pPr>
          </w:p>
        </w:tc>
      </w:tr>
      <w:tr>
        <w:trPr>
          <w:trHeight w:val="19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NOI at share from:</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Dispositions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Development properties</w:t>
            </w:r>
          </w:p>
        </w:tc>
        <w:tc>
          <w:tcPr>
            <w:tcW w:w="260" w:type="dxa"/>
            <w:vAlign w:val="bottom"/>
          </w:tcPr>
          <w:p>
            <w:pPr>
              <w:spacing w:after="0"/>
              <w:rPr>
                <w:sz w:val="16"/>
                <w:szCs w:val="16"/>
                <w:color w:val="auto"/>
              </w:rPr>
            </w:pP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(12,595)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(12,595)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non-same store income, net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(9,245)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(368)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(911)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(7,966)</w:t>
            </w:r>
          </w:p>
        </w:tc>
        <w:tc>
          <w:tcPr>
            <w:tcW w:w="0" w:type="dxa"/>
            <w:vAlign w:val="bottom"/>
          </w:tcPr>
          <w:p>
            <w:pPr>
              <w:spacing w:after="0"/>
              <w:rPr>
                <w:sz w:val="1"/>
                <w:szCs w:val="1"/>
                <w:color w:val="auto"/>
              </w:rPr>
            </w:pPr>
          </w:p>
        </w:tc>
      </w:tr>
      <w:tr>
        <w:trPr>
          <w:trHeight w:val="199"/>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Same store NOI at share for the three months ended September 30, 2025</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244,893</w:t>
            </w: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215,235</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13,276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16,382</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4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(decrease) in same store NOI at share</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21,978</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22,000</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529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(551)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4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increase (decrease) in same store NOI at share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60" w:type="dxa"/>
            <w:vAlign w:val="bottom"/>
          </w:tcPr>
          <w:p>
            <w:pPr>
              <w:spacing w:after="0"/>
              <w:rPr>
                <w:sz w:val="13"/>
                <w:szCs w:val="13"/>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160" w:type="dxa"/>
            <w:vAlign w:val="bottom"/>
          </w:tcPr>
          <w:p>
            <w:pPr>
              <w:spacing w:after="0"/>
              <w:rPr>
                <w:sz w:val="13"/>
                <w:szCs w:val="13"/>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THE MART</w:t>
            </w:r>
          </w:p>
        </w:tc>
        <w:tc>
          <w:tcPr>
            <w:tcW w:w="14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555 California</w:t>
            </w:r>
          </w:p>
        </w:tc>
        <w:tc>
          <w:tcPr>
            <w:tcW w:w="260" w:type="dxa"/>
            <w:vAlign w:val="bottom"/>
          </w:tcPr>
          <w:p>
            <w:pPr>
              <w:spacing w:after="0"/>
              <w:rPr>
                <w:sz w:val="13"/>
                <w:szCs w:val="13"/>
                <w:color w:val="auto"/>
              </w:rPr>
            </w:pPr>
          </w:p>
        </w:tc>
        <w:tc>
          <w:tcPr>
            <w:tcW w:w="94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1"/>
        </w:trPr>
        <w:tc>
          <w:tcPr>
            <w:tcW w:w="4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Street</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 - cash basis for the three months ended September 30, 2026</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255,659</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217,998</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15,571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12,112</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9,978</w:t>
            </w:r>
          </w:p>
        </w:tc>
        <w:tc>
          <w:tcPr>
            <w:tcW w:w="0" w:type="dxa"/>
            <w:vAlign w:val="bottom"/>
          </w:tcPr>
          <w:p>
            <w:pPr>
              <w:spacing w:after="0"/>
              <w:rPr>
                <w:sz w:val="1"/>
                <w:szCs w:val="1"/>
                <w:color w:val="auto"/>
              </w:rPr>
            </w:pPr>
          </w:p>
        </w:tc>
      </w:tr>
      <w:tr>
        <w:trPr>
          <w:trHeight w:val="19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NOI at share - cash basis from:</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Acquisitions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(6,780)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(6,780)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Dispositions</w:t>
            </w:r>
          </w:p>
        </w:tc>
        <w:tc>
          <w:tcPr>
            <w:tcW w:w="26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Development properties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(3,895)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(3,895)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4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non-same store income, net</w:t>
            </w:r>
          </w:p>
        </w:tc>
        <w:tc>
          <w:tcPr>
            <w:tcW w:w="260" w:type="dxa"/>
            <w:vAlign w:val="bottom"/>
          </w:tcPr>
          <w:p>
            <w:pPr>
              <w:spacing w:after="0"/>
              <w:rPr>
                <w:sz w:val="16"/>
                <w:szCs w:val="16"/>
                <w:color w:val="auto"/>
              </w:rPr>
            </w:pP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(24,656)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(14,568)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(9,978)</w:t>
            </w:r>
          </w:p>
        </w:tc>
        <w:tc>
          <w:tcPr>
            <w:tcW w:w="0" w:type="dxa"/>
            <w:vAlign w:val="bottom"/>
          </w:tcPr>
          <w:p>
            <w:pPr>
              <w:spacing w:after="0"/>
              <w:rPr>
                <w:sz w:val="1"/>
                <w:szCs w:val="1"/>
                <w:color w:val="auto"/>
              </w:rPr>
            </w:pPr>
          </w:p>
        </w:tc>
      </w:tr>
      <w:tr>
        <w:trPr>
          <w:trHeight w:val="123"/>
        </w:trPr>
        <w:tc>
          <w:tcPr>
            <w:tcW w:w="4740" w:type="dxa"/>
            <w:vAlign w:val="bottom"/>
            <w:tcBorders>
              <w:top w:val="single" w:sz="8" w:color="CCEEFF"/>
            </w:tcBorders>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color w:val="auto"/>
              </w:rPr>
              <w:t>Same store NOI at share - cash basis for the three months ended September 30,</w:t>
            </w:r>
          </w:p>
        </w:tc>
        <w:tc>
          <w:tcPr>
            <w:tcW w:w="260" w:type="dxa"/>
            <w:vAlign w:val="bottom"/>
            <w:tcBorders>
              <w:top w:val="single" w:sz="8" w:color="auto"/>
            </w:tcBorders>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220,397</w:t>
            </w: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192,857</w:t>
            </w: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15,428</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12,112</w:t>
            </w:r>
          </w:p>
        </w:tc>
        <w:tc>
          <w:tcPr>
            <w:tcW w:w="12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2026</w:t>
            </w: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 - cash basis for the three months ended September 30, 2025</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235,930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198,418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13,267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16,455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7,790</w:t>
            </w:r>
          </w:p>
        </w:tc>
        <w:tc>
          <w:tcPr>
            <w:tcW w:w="0" w:type="dxa"/>
            <w:vAlign w:val="bottom"/>
          </w:tcPr>
          <w:p>
            <w:pPr>
              <w:spacing w:after="0"/>
              <w:rPr>
                <w:sz w:val="1"/>
                <w:szCs w:val="1"/>
                <w:color w:val="auto"/>
              </w:rPr>
            </w:pPr>
          </w:p>
        </w:tc>
      </w:tr>
      <w:tr>
        <w:trPr>
          <w:trHeight w:val="191"/>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NOI at share - cash basis from:</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Dispositions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(214)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(215)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Development properties</w:t>
            </w:r>
          </w:p>
        </w:tc>
        <w:tc>
          <w:tcPr>
            <w:tcW w:w="260" w:type="dxa"/>
            <w:vAlign w:val="bottom"/>
          </w:tcPr>
          <w:p>
            <w:pPr>
              <w:spacing w:after="0"/>
              <w:rPr>
                <w:sz w:val="16"/>
                <w:szCs w:val="16"/>
                <w:color w:val="auto"/>
              </w:rPr>
            </w:pP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(12,244)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(12,244)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non-same store income, net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(9,926)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(2,136)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(7,790)</w:t>
            </w:r>
          </w:p>
        </w:tc>
        <w:tc>
          <w:tcPr>
            <w:tcW w:w="0" w:type="dxa"/>
            <w:vAlign w:val="bottom"/>
          </w:tcPr>
          <w:p>
            <w:pPr>
              <w:spacing w:after="0"/>
              <w:rPr>
                <w:sz w:val="1"/>
                <w:szCs w:val="1"/>
                <w:color w:val="auto"/>
              </w:rPr>
            </w:pPr>
          </w:p>
        </w:tc>
      </w:tr>
      <w:tr>
        <w:trPr>
          <w:trHeight w:val="116"/>
        </w:trPr>
        <w:tc>
          <w:tcPr>
            <w:tcW w:w="474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color w:val="auto"/>
              </w:rPr>
              <w:t>Same store NOI at share - cash basis for the three months ended September 30,</w:t>
            </w:r>
          </w:p>
        </w:tc>
        <w:tc>
          <w:tcPr>
            <w:tcW w:w="260" w:type="dxa"/>
            <w:vAlign w:val="bottom"/>
            <w:tcBorders>
              <w:top w:val="single" w:sz="8" w:color="auto"/>
            </w:tcBorders>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213,546</w:t>
            </w:r>
          </w:p>
        </w:tc>
        <w:tc>
          <w:tcPr>
            <w:tcW w:w="14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183,823</w:t>
            </w:r>
          </w:p>
        </w:tc>
        <w:tc>
          <w:tcPr>
            <w:tcW w:w="140" w:type="dxa"/>
            <w:vAlign w:val="bottom"/>
          </w:tcPr>
          <w:p>
            <w:pPr>
              <w:spacing w:after="0"/>
              <w:rPr>
                <w:sz w:val="10"/>
                <w:szCs w:val="10"/>
                <w:color w:val="auto"/>
              </w:rPr>
            </w:pPr>
          </w:p>
        </w:tc>
        <w:tc>
          <w:tcPr>
            <w:tcW w:w="160" w:type="dxa"/>
            <w:vAlign w:val="bottom"/>
            <w:tcBorders>
              <w:top w:val="single" w:sz="8" w:color="auto"/>
            </w:tcBorders>
            <w:vMerge w:val="restart"/>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13,268</w:t>
            </w:r>
          </w:p>
        </w:tc>
        <w:tc>
          <w:tcPr>
            <w:tcW w:w="12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16,455</w:t>
            </w:r>
          </w:p>
        </w:tc>
        <w:tc>
          <w:tcPr>
            <w:tcW w:w="120" w:type="dxa"/>
            <w:vAlign w:val="bottom"/>
          </w:tcPr>
          <w:p>
            <w:pPr>
              <w:spacing w:after="0"/>
              <w:rPr>
                <w:sz w:val="10"/>
                <w:szCs w:val="10"/>
                <w:color w:val="auto"/>
              </w:rPr>
            </w:pPr>
          </w:p>
        </w:tc>
        <w:tc>
          <w:tcPr>
            <w:tcW w:w="260" w:type="dxa"/>
            <w:vAlign w:val="bottom"/>
            <w:tcBorders>
              <w:top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4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2025</w:t>
            </w:r>
          </w:p>
        </w:tc>
        <w:tc>
          <w:tcPr>
            <w:tcW w:w="26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4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(decrease) in same store NOI at share - cash basis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6,851</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9,034</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2,160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(4,343)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4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increase (decrease) in same store NOI at share - cash basis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16.3 %</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NOI At Share by Segment for the Nine Months Ended September 30, 2026 and 2025</w:t>
      </w:r>
    </w:p>
    <w:p>
      <w:pPr>
        <w:spacing w:after="0" w:line="200" w:lineRule="exact"/>
        <w:rPr>
          <w:sz w:val="20"/>
          <w:szCs w:val="20"/>
          <w:color w:val="auto"/>
        </w:rPr>
      </w:pPr>
    </w:p>
    <w:p>
      <w:pPr>
        <w:spacing w:after="0" w:line="2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summary of NOI at share and NOI at share - cash basis by segment for the nine months ended September 30, 2026 and 2025.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020" w:type="dxa"/>
            <w:vAlign w:val="bottom"/>
          </w:tcPr>
          <w:p>
            <w:pPr>
              <w:spacing w:after="0"/>
              <w:rPr>
                <w:sz w:val="16"/>
                <w:szCs w:val="16"/>
                <w:color w:val="auto"/>
              </w:rPr>
            </w:pPr>
          </w:p>
        </w:tc>
        <w:tc>
          <w:tcPr>
            <w:tcW w:w="31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2026</w:t>
            </w:r>
          </w:p>
        </w:tc>
        <w:tc>
          <w:tcPr>
            <w:tcW w:w="1080" w:type="dxa"/>
            <w:vAlign w:val="bottom"/>
          </w:tcPr>
          <w:p>
            <w:pPr>
              <w:spacing w:after="0"/>
              <w:rPr>
                <w:sz w:val="16"/>
                <w:szCs w:val="16"/>
                <w:color w:val="auto"/>
              </w:rPr>
            </w:pPr>
          </w:p>
        </w:tc>
      </w:tr>
      <w:tr>
        <w:trPr>
          <w:trHeight w:val="24"/>
        </w:trPr>
        <w:tc>
          <w:tcPr>
            <w:tcW w:w="6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60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New York</w:t>
            </w:r>
          </w:p>
        </w:tc>
        <w:tc>
          <w:tcPr>
            <w:tcW w:w="580" w:type="dxa"/>
            <w:vAlign w:val="bottom"/>
          </w:tcPr>
          <w:p>
            <w:pPr>
              <w:spacing w:after="0"/>
              <w:rPr>
                <w:sz w:val="16"/>
                <w:szCs w:val="16"/>
                <w:color w:val="auto"/>
              </w:rPr>
            </w:pPr>
          </w:p>
        </w:tc>
        <w:tc>
          <w:tcPr>
            <w:tcW w:w="108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8"/>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020" w:type="dxa"/>
            <w:vAlign w:val="bottom"/>
            <w:tcBorders>
              <w:top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99"/>
              </w:rPr>
              <w:t>1,389,004</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1,138,014</w:t>
            </w: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250,990</w:t>
            </w:r>
          </w:p>
        </w:tc>
      </w:tr>
      <w:tr>
        <w:trPr>
          <w:trHeight w:val="192"/>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0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(715,801)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(598,105)</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(117,696)</w:t>
            </w:r>
          </w:p>
        </w:tc>
      </w:tr>
      <w:tr>
        <w:trPr>
          <w:trHeight w:val="19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 consolidated</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673,203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539,909</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133,294</w:t>
            </w:r>
          </w:p>
        </w:tc>
      </w:tr>
      <w:tr>
        <w:trPr>
          <w:trHeight w:val="191"/>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Deduct: NOI attributable to noncontrolling interests in consolidated subsidiaries</w:t>
            </w:r>
          </w:p>
        </w:tc>
        <w:tc>
          <w:tcPr>
            <w:tcW w:w="10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(12,237)</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(18,479)</w:t>
            </w:r>
          </w:p>
        </w:tc>
      </w:tr>
      <w:tr>
        <w:trPr>
          <w:trHeight w:val="20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NOI from partially owned entities</w:t>
            </w:r>
          </w:p>
        </w:tc>
        <w:tc>
          <w:tcPr>
            <w:tcW w:w="10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233,754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221,195</w:t>
            </w:r>
          </w:p>
        </w:tc>
        <w:tc>
          <w:tcPr>
            <w:tcW w:w="1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12,559</w:t>
            </w:r>
          </w:p>
        </w:tc>
      </w:tr>
      <w:tr>
        <w:trPr>
          <w:trHeight w:val="185"/>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 at share</w:t>
            </w:r>
          </w:p>
        </w:tc>
        <w:tc>
          <w:tcPr>
            <w:tcW w:w="102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876,241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748,867</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127,374</w:t>
            </w:r>
          </w:p>
        </w:tc>
      </w:tr>
      <w:tr>
        <w:trPr>
          <w:trHeight w:val="19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adjustments for straight-line rents, amortization of acquired below-market leases, net and other</w:t>
            </w:r>
          </w:p>
        </w:tc>
        <w:tc>
          <w:tcPr>
            <w:tcW w:w="10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(116,342)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(107,383)</w:t>
            </w:r>
          </w:p>
        </w:tc>
        <w:tc>
          <w:tcPr>
            <w:tcW w:w="1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(8,959)</w:t>
            </w:r>
          </w:p>
        </w:tc>
      </w:tr>
      <w:tr>
        <w:trPr>
          <w:trHeight w:val="199"/>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 at share - cash basis</w:t>
            </w: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759,899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641,484</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118,415</w:t>
            </w:r>
          </w:p>
        </w:tc>
      </w:tr>
      <w:tr>
        <w:trPr>
          <w:trHeight w:val="20"/>
        </w:trPr>
        <w:tc>
          <w:tcPr>
            <w:tcW w:w="6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020" w:type="dxa"/>
            <w:vAlign w:val="bottom"/>
          </w:tcPr>
          <w:p>
            <w:pPr>
              <w:spacing w:after="0"/>
              <w:rPr>
                <w:sz w:val="16"/>
                <w:szCs w:val="16"/>
                <w:color w:val="auto"/>
              </w:rPr>
            </w:pPr>
          </w:p>
        </w:tc>
        <w:tc>
          <w:tcPr>
            <w:tcW w:w="31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tc>
        <w:tc>
          <w:tcPr>
            <w:tcW w:w="1080" w:type="dxa"/>
            <w:vAlign w:val="bottom"/>
          </w:tcPr>
          <w:p>
            <w:pPr>
              <w:spacing w:after="0"/>
              <w:rPr>
                <w:sz w:val="16"/>
                <w:szCs w:val="16"/>
                <w:color w:val="auto"/>
              </w:rPr>
            </w:pPr>
          </w:p>
        </w:tc>
      </w:tr>
      <w:tr>
        <w:trPr>
          <w:trHeight w:val="24"/>
        </w:trPr>
        <w:tc>
          <w:tcPr>
            <w:tcW w:w="59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9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New York</w:t>
            </w:r>
          </w:p>
        </w:tc>
        <w:tc>
          <w:tcPr>
            <w:tcW w:w="580" w:type="dxa"/>
            <w:vAlign w:val="bottom"/>
          </w:tcPr>
          <w:p>
            <w:pPr>
              <w:spacing w:after="0"/>
              <w:rPr>
                <w:sz w:val="16"/>
                <w:szCs w:val="16"/>
                <w:color w:val="auto"/>
              </w:rPr>
            </w:pPr>
          </w:p>
        </w:tc>
        <w:tc>
          <w:tcPr>
            <w:tcW w:w="108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8"/>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020" w:type="dxa"/>
            <w:vAlign w:val="bottom"/>
            <w:tcBorders>
              <w:top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1,356,716</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1,096,722</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259,994</w:t>
            </w:r>
          </w:p>
        </w:tc>
      </w:tr>
      <w:tr>
        <w:trPr>
          <w:trHeight w:val="192"/>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0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(685,857)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(566,649)</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(119,208)</w:t>
            </w:r>
          </w:p>
        </w:tc>
      </w:tr>
      <w:tr>
        <w:trPr>
          <w:trHeight w:val="19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 consolidated</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670,859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530,073</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140,786</w:t>
            </w:r>
          </w:p>
        </w:tc>
      </w:tr>
      <w:tr>
        <w:trPr>
          <w:trHeight w:val="191"/>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Deduct: NOI attributable to noncontrolling interests in consolidated subsidiaries</w:t>
            </w:r>
          </w:p>
        </w:tc>
        <w:tc>
          <w:tcPr>
            <w:tcW w:w="10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(31,442)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(22,570)</w:t>
            </w:r>
          </w:p>
        </w:tc>
      </w:tr>
      <w:tr>
        <w:trPr>
          <w:trHeight w:val="20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NOI from partially owned entities</w:t>
            </w:r>
          </w:p>
        </w:tc>
        <w:tc>
          <w:tcPr>
            <w:tcW w:w="10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198,222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189,866</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8,356</w:t>
            </w:r>
          </w:p>
        </w:tc>
      </w:tr>
      <w:tr>
        <w:trPr>
          <w:trHeight w:val="185"/>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 at share</w:t>
            </w:r>
          </w:p>
        </w:tc>
        <w:tc>
          <w:tcPr>
            <w:tcW w:w="10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837,639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711,067</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126,572</w:t>
            </w:r>
          </w:p>
        </w:tc>
      </w:tr>
      <w:tr>
        <w:trPr>
          <w:trHeight w:val="19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adjustments for straight-line rents, amortization of acquired below-market leases, net and other</w:t>
            </w:r>
          </w:p>
        </w:tc>
        <w:tc>
          <w:tcPr>
            <w:tcW w:w="10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(100,619)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(102,962)</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2,343</w:t>
            </w:r>
          </w:p>
        </w:tc>
      </w:tr>
      <w:tr>
        <w:trPr>
          <w:trHeight w:val="199"/>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 at share - cash basis</w:t>
            </w:r>
          </w:p>
        </w:tc>
        <w:tc>
          <w:tcPr>
            <w:tcW w:w="102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737,020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608,105</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128,915</w:t>
            </w:r>
          </w:p>
        </w:tc>
      </w:tr>
      <w:tr>
        <w:trPr>
          <w:trHeight w:val="20"/>
        </w:trPr>
        <w:tc>
          <w:tcPr>
            <w:tcW w:w="5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NOI At Share by Segment for the Nine Months Ended September 30, 2026 and 2025 - continued</w:t>
      </w:r>
    </w:p>
    <w:p>
      <w:pPr>
        <w:spacing w:after="0" w:line="200" w:lineRule="exact"/>
        <w:rPr>
          <w:sz w:val="20"/>
          <w:szCs w:val="20"/>
          <w:color w:val="auto"/>
        </w:rPr>
      </w:pPr>
    </w:p>
    <w:p>
      <w:pPr>
        <w:spacing w:after="0" w:line="2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elements of our New York and Other NOI at share for the nine months ended September 30, 2026 and 2025 are summarized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60" w:type="dxa"/>
            <w:vAlign w:val="bottom"/>
          </w:tcPr>
          <w:p>
            <w:pPr>
              <w:spacing w:after="0"/>
              <w:rPr>
                <w:sz w:val="16"/>
                <w:szCs w:val="16"/>
                <w:color w:val="auto"/>
              </w:rPr>
            </w:pPr>
          </w:p>
        </w:tc>
        <w:tc>
          <w:tcPr>
            <w:tcW w:w="3180" w:type="dxa"/>
            <w:vAlign w:val="bottom"/>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4"/>
                <w:szCs w:val="14"/>
                <w:color w:val="auto"/>
              </w:rPr>
              <w:t>Office (includes base retail)</w:t>
            </w:r>
            <w:r>
              <w:rPr>
                <w:rFonts w:ascii="Times New Roman" w:cs="Times New Roman" w:eastAsia="Times New Roman" w:hAnsi="Times New Roman"/>
                <w:sz w:val="18"/>
                <w:szCs w:val="18"/>
                <w:b w:val="1"/>
                <w:bCs w:val="1"/>
                <w:color w:val="auto"/>
                <w:vertAlign w:val="superscript"/>
              </w:rPr>
              <w:t>(1)</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547,466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533,625</w:t>
            </w:r>
          </w:p>
        </w:tc>
        <w:tc>
          <w:tcPr>
            <w:tcW w:w="0" w:type="dxa"/>
            <w:vAlign w:val="bottom"/>
          </w:tcPr>
          <w:p>
            <w:pPr>
              <w:spacing w:after="0"/>
              <w:rPr>
                <w:sz w:val="1"/>
                <w:szCs w:val="1"/>
                <w:color w:val="auto"/>
              </w:rPr>
            </w:pPr>
          </w:p>
        </w:tc>
      </w:tr>
      <w:tr>
        <w:trPr>
          <w:trHeight w:val="199"/>
        </w:trPr>
        <w:tc>
          <w:tcPr>
            <w:tcW w:w="7800" w:type="dxa"/>
            <w:vAlign w:val="bottom"/>
          </w:tcPr>
          <w:p>
            <w:pPr>
              <w:ind w:left="140"/>
              <w:spacing w:after="0" w:line="199" w:lineRule="exact"/>
              <w:rPr>
                <w:sz w:val="20"/>
                <w:szCs w:val="20"/>
                <w:color w:val="auto"/>
              </w:rPr>
            </w:pPr>
            <w:r>
              <w:rPr>
                <w:rFonts w:ascii="Times New Roman" w:cs="Times New Roman" w:eastAsia="Times New Roman" w:hAnsi="Times New Roman"/>
                <w:sz w:val="14"/>
                <w:szCs w:val="14"/>
                <w:color w:val="auto"/>
              </w:rPr>
              <w:t>Street Retail</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148,414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131,837</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21,047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19,011</w:t>
            </w:r>
          </w:p>
        </w:tc>
        <w:tc>
          <w:tcPr>
            <w:tcW w:w="0" w:type="dxa"/>
            <w:vAlign w:val="bottom"/>
          </w:tcPr>
          <w:p>
            <w:pPr>
              <w:spacing w:after="0"/>
              <w:rPr>
                <w:sz w:val="1"/>
                <w:szCs w:val="1"/>
                <w:color w:val="auto"/>
              </w:rPr>
            </w:pPr>
          </w:p>
        </w:tc>
      </w:tr>
      <w:tr>
        <w:trPr>
          <w:trHeight w:val="199"/>
        </w:trPr>
        <w:tc>
          <w:tcPr>
            <w:tcW w:w="7800" w:type="dxa"/>
            <w:vAlign w:val="bottom"/>
            <w:tcBorders>
              <w:bottom w:val="single" w:sz="8" w:color="CCEEFF"/>
            </w:tcBorders>
          </w:tcPr>
          <w:p>
            <w:pPr>
              <w:ind w:left="140"/>
              <w:spacing w:after="0" w:line="199" w:lineRule="exact"/>
              <w:rPr>
                <w:sz w:val="20"/>
                <w:szCs w:val="20"/>
                <w:color w:val="auto"/>
              </w:rPr>
            </w:pPr>
            <w:r>
              <w:rPr>
                <w:rFonts w:ascii="Times New Roman" w:cs="Times New Roman" w:eastAsia="Times New Roman" w:hAnsi="Times New Roman"/>
                <w:sz w:val="14"/>
                <w:szCs w:val="14"/>
                <w:color w:val="auto"/>
              </w:rPr>
              <w:t>Alexander's</w:t>
            </w:r>
            <w:r>
              <w:rPr>
                <w:rFonts w:ascii="Times New Roman" w:cs="Times New Roman" w:eastAsia="Times New Roman" w:hAnsi="Times New Roman"/>
                <w:sz w:val="18"/>
                <w:szCs w:val="18"/>
                <w:b w:val="1"/>
                <w:bCs w:val="1"/>
                <w:color w:val="auto"/>
                <w:vertAlign w:val="superscript"/>
              </w:rPr>
              <w:t>(2)</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31,940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26,594</w:t>
            </w:r>
          </w:p>
        </w:tc>
        <w:tc>
          <w:tcPr>
            <w:tcW w:w="0" w:type="dxa"/>
            <w:vAlign w:val="bottom"/>
          </w:tcPr>
          <w:p>
            <w:pPr>
              <w:spacing w:after="0"/>
              <w:rPr>
                <w:sz w:val="1"/>
                <w:szCs w:val="1"/>
                <w:color w:val="auto"/>
              </w:rPr>
            </w:pPr>
          </w:p>
        </w:tc>
      </w:tr>
      <w:tr>
        <w:trPr>
          <w:trHeight w:val="192"/>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New York</w:t>
            </w: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748,867</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711,067</w:t>
            </w:r>
          </w:p>
        </w:tc>
        <w:tc>
          <w:tcPr>
            <w:tcW w:w="0" w:type="dxa"/>
            <w:vAlign w:val="bottom"/>
          </w:tcPr>
          <w:p>
            <w:pPr>
              <w:spacing w:after="0"/>
              <w:rPr>
                <w:sz w:val="1"/>
                <w:szCs w:val="1"/>
                <w:color w:val="auto"/>
              </w:rPr>
            </w:pPr>
          </w:p>
        </w:tc>
      </w:tr>
      <w:tr>
        <w:trPr>
          <w:trHeight w:val="313"/>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THE MART</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57,137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54,388</w:t>
            </w:r>
          </w:p>
        </w:tc>
        <w:tc>
          <w:tcPr>
            <w:tcW w:w="0" w:type="dxa"/>
            <w:vAlign w:val="bottom"/>
          </w:tcPr>
          <w:p>
            <w:pPr>
              <w:spacing w:after="0"/>
              <w:rPr>
                <w:sz w:val="1"/>
                <w:szCs w:val="1"/>
                <w:color w:val="auto"/>
              </w:rPr>
            </w:pPr>
          </w:p>
        </w:tc>
      </w:tr>
      <w:tr>
        <w:trPr>
          <w:trHeight w:val="191"/>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555 California Street</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44,332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53,822</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investments</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25,905</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18,362</w:t>
            </w:r>
          </w:p>
        </w:tc>
        <w:tc>
          <w:tcPr>
            <w:tcW w:w="0" w:type="dxa"/>
            <w:vAlign w:val="bottom"/>
          </w:tcPr>
          <w:p>
            <w:pPr>
              <w:spacing w:after="0"/>
              <w:rPr>
                <w:sz w:val="1"/>
                <w:szCs w:val="1"/>
                <w:color w:val="auto"/>
              </w:rPr>
            </w:pPr>
          </w:p>
        </w:tc>
      </w:tr>
      <w:tr>
        <w:trPr>
          <w:trHeight w:val="185"/>
        </w:trPr>
        <w:tc>
          <w:tcPr>
            <w:tcW w:w="7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Other</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127,374</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126,572</w:t>
            </w:r>
          </w:p>
        </w:tc>
        <w:tc>
          <w:tcPr>
            <w:tcW w:w="0" w:type="dxa"/>
            <w:vAlign w:val="bottom"/>
          </w:tcPr>
          <w:p>
            <w:pPr>
              <w:spacing w:after="0"/>
              <w:rPr>
                <w:sz w:val="1"/>
                <w:szCs w:val="1"/>
                <w:color w:val="auto"/>
              </w:rPr>
            </w:pPr>
          </w:p>
        </w:tc>
      </w:tr>
      <w:tr>
        <w:trPr>
          <w:trHeight w:val="146"/>
        </w:trPr>
        <w:tc>
          <w:tcPr>
            <w:tcW w:w="7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876,241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837,639</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____________________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See notes below.</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elements of our New York and Other NOI at share - cash basis for the nine months ended September 30, 2026 and 2025 are summarized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60" w:type="dxa"/>
            <w:vAlign w:val="bottom"/>
          </w:tcPr>
          <w:p>
            <w:pPr>
              <w:spacing w:after="0"/>
              <w:rPr>
                <w:sz w:val="16"/>
                <w:szCs w:val="16"/>
                <w:color w:val="auto"/>
              </w:rPr>
            </w:pPr>
          </w:p>
        </w:tc>
        <w:tc>
          <w:tcPr>
            <w:tcW w:w="3180" w:type="dxa"/>
            <w:vAlign w:val="bottom"/>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Office (includes base retail)</w:t>
            </w:r>
            <w:r>
              <w:rPr>
                <w:rFonts w:ascii="Times New Roman" w:cs="Times New Roman" w:eastAsia="Times New Roman" w:hAnsi="Times New Roman"/>
                <w:sz w:val="9"/>
                <w:szCs w:val="9"/>
                <w:b w:val="1"/>
                <w:bCs w:val="1"/>
                <w:color w:val="auto"/>
              </w:rPr>
              <w:t>(1)(3)</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463,167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436,265</w:t>
            </w:r>
          </w:p>
        </w:tc>
        <w:tc>
          <w:tcPr>
            <w:tcW w:w="0" w:type="dxa"/>
            <w:vAlign w:val="bottom"/>
          </w:tcPr>
          <w:p>
            <w:pPr>
              <w:spacing w:after="0"/>
              <w:rPr>
                <w:sz w:val="1"/>
                <w:szCs w:val="1"/>
                <w:color w:val="auto"/>
              </w:rPr>
            </w:pPr>
          </w:p>
        </w:tc>
      </w:tr>
      <w:tr>
        <w:trPr>
          <w:trHeight w:val="191"/>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Street Retail</w:t>
            </w:r>
            <w:r>
              <w:rPr>
                <w:rFonts w:ascii="Times New Roman" w:cs="Times New Roman" w:eastAsia="Times New Roman" w:hAnsi="Times New Roman"/>
                <w:sz w:val="9"/>
                <w:szCs w:val="9"/>
                <w:b w:val="1"/>
                <w:bCs w:val="1"/>
                <w:color w:val="auto"/>
              </w:rPr>
              <w:t>(1)</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135,391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124,622</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17,827</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Alexander's</w:t>
            </w:r>
            <w:r>
              <w:rPr>
                <w:rFonts w:ascii="Times New Roman" w:cs="Times New Roman" w:eastAsia="Times New Roman" w:hAnsi="Times New Roman"/>
                <w:sz w:val="9"/>
                <w:szCs w:val="9"/>
                <w:b w:val="1"/>
                <w:bCs w:val="1"/>
                <w:color w:val="auto"/>
              </w:rPr>
              <w:t>(2)(4)</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22,933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29,391</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New York</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641,484</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608,105</w:t>
            </w:r>
          </w:p>
        </w:tc>
        <w:tc>
          <w:tcPr>
            <w:tcW w:w="0" w:type="dxa"/>
            <w:vAlign w:val="bottom"/>
          </w:tcPr>
          <w:p>
            <w:pPr>
              <w:spacing w:after="0"/>
              <w:rPr>
                <w:sz w:val="1"/>
                <w:szCs w:val="1"/>
                <w:color w:val="auto"/>
              </w:rPr>
            </w:pPr>
          </w:p>
        </w:tc>
      </w:tr>
      <w:tr>
        <w:trPr>
          <w:trHeight w:val="314"/>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THE MART</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62,069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56,042</w:t>
            </w:r>
          </w:p>
        </w:tc>
        <w:tc>
          <w:tcPr>
            <w:tcW w:w="0" w:type="dxa"/>
            <w:vAlign w:val="bottom"/>
          </w:tcPr>
          <w:p>
            <w:pPr>
              <w:spacing w:after="0"/>
              <w:rPr>
                <w:sz w:val="1"/>
                <w:szCs w:val="1"/>
                <w:color w:val="auto"/>
              </w:rPr>
            </w:pPr>
          </w:p>
        </w:tc>
      </w:tr>
      <w:tr>
        <w:trPr>
          <w:trHeight w:val="191"/>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555 California Street</w:t>
            </w:r>
            <w:r>
              <w:rPr>
                <w:rFonts w:ascii="Times New Roman" w:cs="Times New Roman" w:eastAsia="Times New Roman" w:hAnsi="Times New Roman"/>
                <w:sz w:val="9"/>
                <w:szCs w:val="9"/>
                <w:b w:val="1"/>
                <w:bCs w:val="1"/>
                <w:color w:val="auto"/>
              </w:rPr>
              <w:t>(5)</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29,933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55,276</w:t>
            </w: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investments</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26,413</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17,597</w:t>
            </w:r>
          </w:p>
        </w:tc>
        <w:tc>
          <w:tcPr>
            <w:tcW w:w="0" w:type="dxa"/>
            <w:vAlign w:val="bottom"/>
          </w:tcPr>
          <w:p>
            <w:pPr>
              <w:spacing w:after="0"/>
              <w:rPr>
                <w:sz w:val="1"/>
                <w:szCs w:val="1"/>
                <w:color w:val="auto"/>
              </w:rPr>
            </w:pPr>
          </w:p>
        </w:tc>
      </w:tr>
      <w:tr>
        <w:trPr>
          <w:trHeight w:val="185"/>
        </w:trPr>
        <w:tc>
          <w:tcPr>
            <w:tcW w:w="7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Other</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118,415</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128,915</w:t>
            </w:r>
          </w:p>
        </w:tc>
        <w:tc>
          <w:tcPr>
            <w:tcW w:w="0" w:type="dxa"/>
            <w:vAlign w:val="bottom"/>
          </w:tcPr>
          <w:p>
            <w:pPr>
              <w:spacing w:after="0"/>
              <w:rPr>
                <w:sz w:val="1"/>
                <w:szCs w:val="1"/>
                <w:color w:val="auto"/>
              </w:rPr>
            </w:pPr>
          </w:p>
        </w:tc>
      </w:tr>
      <w:tr>
        <w:trPr>
          <w:trHeight w:val="146"/>
        </w:trPr>
        <w:tc>
          <w:tcPr>
            <w:tcW w:w="7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 - cash basis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759,899</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737,020</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b w:val="1"/>
                <w:bCs w:val="1"/>
                <w:color w:val="auto"/>
              </w:rPr>
              <w:t>____________________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320" w:hanging="314"/>
        <w:spacing w:after="0" w:line="255" w:lineRule="auto"/>
        <w:tabs>
          <w:tab w:leader="none" w:pos="312"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During the first quarter of 2026, we reclassified retail assets located at the base of our office buildings from the retail subsegment to the office subsegment. The retail subsegment was renamed “Street Retail” and now comprises standalone retail properties and mixed-use assets with prominent retail components, including related signage, with a concentration on High Streets such as Fifth Avenue, Madison Avenue and Times Square. Prior period balances have been reclassified to conform to current period presentation. This change applies only to net operating income; all other operating metrics, including occupancy, leasing activity, and lease expirations continue to be presented based on space type.</w:t>
      </w:r>
    </w:p>
    <w:p>
      <w:pPr>
        <w:spacing w:after="0" w:line="1"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2026 includes termination income at the Rego Park shopping center.</w:t>
      </w:r>
    </w:p>
    <w:p>
      <w:pPr>
        <w:spacing w:after="0" w:line="11"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2025 includes the impact of the payment of $22,361 for prior period PENN 1 ground rent owed based on the rent reset determination.</w:t>
      </w:r>
    </w:p>
    <w:p>
      <w:pPr>
        <w:spacing w:after="0" w:line="11" w:lineRule="exact"/>
        <w:rPr>
          <w:rFonts w:ascii="Times New Roman" w:cs="Times New Roman" w:eastAsia="Times New Roman" w:hAnsi="Times New Roman"/>
          <w:sz w:val="14"/>
          <w:szCs w:val="14"/>
          <w:b w:val="1"/>
          <w:bCs w:val="1"/>
          <w:color w:val="auto"/>
        </w:rPr>
      </w:pPr>
    </w:p>
    <w:p>
      <w:pPr>
        <w:ind w:left="320" w:hanging="314"/>
        <w:spacing w:after="0" w:line="250" w:lineRule="auto"/>
        <w:tabs>
          <w:tab w:leader="none" w:pos="312"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Decrease is primarily due to the lease amendment entered into between Alexander’s and Bloomberg L.P. (“Bloomberg”), which provided Bloomberg with a rent abatement for the period of April 1, 2026 to December 1, 2026 with a corresponding reduction to Bloomberg’s tenant fund.</w:t>
      </w:r>
    </w:p>
    <w:p>
      <w:pPr>
        <w:ind w:left="320" w:hanging="314"/>
        <w:spacing w:after="0"/>
        <w:tabs>
          <w:tab w:leader="none" w:pos="320"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Decrease is primarily due to free rent periods on new leases commencing.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Reconciliation of Net (Loss) Income to NOI At Share and NOI at Share - Cash Basis for the Nine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reconciliation of net (loss) income to NOI at share and NOI at share - cash basis for the nine months ended September 30, 2026 and 2025.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60" w:type="dxa"/>
            <w:vAlign w:val="bottom"/>
          </w:tcPr>
          <w:p>
            <w:pPr>
              <w:spacing w:after="0"/>
              <w:rPr>
                <w:sz w:val="16"/>
                <w:szCs w:val="16"/>
                <w:color w:val="auto"/>
              </w:rPr>
            </w:pPr>
          </w:p>
        </w:tc>
        <w:tc>
          <w:tcPr>
            <w:tcW w:w="3180" w:type="dxa"/>
            <w:vAlign w:val="bottom"/>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4"/>
        </w:trPr>
        <w:tc>
          <w:tcPr>
            <w:tcW w:w="7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78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(28,794)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932,290</w:t>
            </w: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260" w:type="dxa"/>
            <w:vAlign w:val="bottom"/>
          </w:tcPr>
          <w:p>
            <w:pPr>
              <w:spacing w:after="0"/>
              <w:rPr>
                <w:sz w:val="16"/>
                <w:szCs w:val="16"/>
                <w:color w:val="auto"/>
              </w:rPr>
            </w:pPr>
          </w:p>
        </w:tc>
        <w:tc>
          <w:tcPr>
            <w:tcW w:w="140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458,801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348,851</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116,050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116,065</w:t>
            </w: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 related costs and other</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4,327</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partially owned entities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(99,335)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(135,588)</w:t>
            </w: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investment income, net</w:t>
            </w:r>
          </w:p>
        </w:tc>
        <w:tc>
          <w:tcPr>
            <w:tcW w:w="260" w:type="dxa"/>
            <w:vAlign w:val="bottom"/>
          </w:tcPr>
          <w:p>
            <w:pPr>
              <w:spacing w:after="0"/>
              <w:rPr>
                <w:sz w:val="16"/>
                <w:szCs w:val="16"/>
                <w:color w:val="auto"/>
              </w:rPr>
            </w:pPr>
          </w:p>
        </w:tc>
        <w:tc>
          <w:tcPr>
            <w:tcW w:w="14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(23,423)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(41,730)</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debt expense</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267,502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268,204</w:t>
            </w: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debt extinguishment</w:t>
            </w:r>
          </w:p>
        </w:tc>
        <w:tc>
          <w:tcPr>
            <w:tcW w:w="260" w:type="dxa"/>
            <w:vAlign w:val="bottom"/>
          </w:tcPr>
          <w:p>
            <w:pPr>
              <w:spacing w:after="0"/>
              <w:rPr>
                <w:sz w:val="16"/>
                <w:szCs w:val="16"/>
                <w:color w:val="auto"/>
              </w:rPr>
            </w:pPr>
          </w:p>
        </w:tc>
        <w:tc>
          <w:tcPr>
            <w:tcW w:w="14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(32,073)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sales-type lease</w:t>
            </w:r>
          </w:p>
        </w:tc>
        <w:tc>
          <w:tcPr>
            <w:tcW w:w="2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(803,248)</w:t>
            </w: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gains on disposition of wholly owned and partially owned assets</w:t>
            </w:r>
          </w:p>
        </w:tc>
        <w:tc>
          <w:tcPr>
            <w:tcW w:w="26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(24,039)</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5,727</w:t>
            </w: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 from partially owned entities</w:t>
            </w:r>
          </w:p>
        </w:tc>
        <w:tc>
          <w:tcPr>
            <w:tcW w:w="260" w:type="dxa"/>
            <w:vAlign w:val="bottom"/>
          </w:tcPr>
          <w:p>
            <w:pPr>
              <w:spacing w:after="0"/>
              <w:rPr>
                <w:sz w:val="16"/>
                <w:szCs w:val="16"/>
                <w:color w:val="auto"/>
              </w:rPr>
            </w:pPr>
          </w:p>
        </w:tc>
        <w:tc>
          <w:tcPr>
            <w:tcW w:w="140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233,754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198,222</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attributable to noncontrolling interests in consolidated subsidiaries</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(30,716)</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(31,442)</w:t>
            </w:r>
          </w:p>
        </w:tc>
      </w:tr>
      <w:tr>
        <w:trPr>
          <w:trHeight w:val="18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 at share</w:t>
            </w:r>
          </w:p>
        </w:tc>
        <w:tc>
          <w:tcPr>
            <w:tcW w:w="260" w:type="dxa"/>
            <w:vAlign w:val="bottom"/>
          </w:tcPr>
          <w:p>
            <w:pPr>
              <w:spacing w:after="0"/>
              <w:rPr>
                <w:sz w:val="16"/>
                <w:szCs w:val="16"/>
                <w:color w:val="auto"/>
              </w:rPr>
            </w:pPr>
          </w:p>
        </w:tc>
        <w:tc>
          <w:tcPr>
            <w:tcW w:w="140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876,241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837,639</w:t>
            </w: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adjustments for straight-line rents, amortization of acquired below-market leases, net, and other</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8"/>
              </w:rPr>
              <w:t>(116,342)</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(100,619)</w:t>
            </w:r>
          </w:p>
        </w:tc>
      </w:tr>
      <w:tr>
        <w:trPr>
          <w:trHeight w:val="19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 at share - cash basis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759,899</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737,020</w:t>
            </w:r>
          </w:p>
        </w:tc>
      </w:tr>
      <w:tr>
        <w:trPr>
          <w:trHeight w:val="20"/>
        </w:trPr>
        <w:tc>
          <w:tcPr>
            <w:tcW w:w="7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NOI At Share by Region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3620" w:type="dxa"/>
            <w:vAlign w:val="bottom"/>
            <w:gridSpan w:val="3"/>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4"/>
        </w:trPr>
        <w:tc>
          <w:tcPr>
            <w:tcW w:w="76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85"/>
        </w:trPr>
        <w:tc>
          <w:tcPr>
            <w:tcW w:w="7620" w:type="dxa"/>
            <w:vAlign w:val="bottom"/>
          </w:tcPr>
          <w:p>
            <w:pPr>
              <w:spacing w:after="0"/>
              <w:rPr>
                <w:sz w:val="16"/>
                <w:szCs w:val="16"/>
                <w:color w:val="auto"/>
              </w:rPr>
            </w:pPr>
          </w:p>
        </w:tc>
        <w:tc>
          <w:tcPr>
            <w:tcW w:w="176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76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1"/>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4"/>
        </w:trPr>
        <w:tc>
          <w:tcPr>
            <w:tcW w:w="76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19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York City metropolitan area</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91"/>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Chicago, IL</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San Francisco, CA</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2"/>
        </w:trPr>
        <w:tc>
          <w:tcPr>
            <w:tcW w:w="7620" w:type="dxa"/>
            <w:vAlign w:val="bottom"/>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6"/>
        </w:trPr>
        <w:tc>
          <w:tcPr>
            <w:tcW w:w="76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Results of Operations – Nine Months Ended September 30, 2026 Compared to September 30, 2025</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Revenues</w:t>
      </w:r>
    </w:p>
    <w:p>
      <w:pPr>
        <w:spacing w:after="0" w:line="5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Our revenues were $1,389,004,000 for the nine months ended September 30, 2026, compared to $1,356,716,000 for the prior year’s nine months, an increase of $32,288,000. Below are the details of the increase (decrease) by segment: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420" w:type="dxa"/>
            <w:vAlign w:val="bottom"/>
          </w:tcPr>
          <w:p>
            <w:pPr>
              <w:spacing w:after="0"/>
              <w:rPr>
                <w:sz w:val="16"/>
                <w:szCs w:val="16"/>
                <w:color w:val="auto"/>
              </w:rPr>
            </w:pP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400" w:type="dxa"/>
            <w:vAlign w:val="bottom"/>
          </w:tcPr>
          <w:p>
            <w:pPr>
              <w:spacing w:after="0"/>
              <w:rPr>
                <w:sz w:val="16"/>
                <w:szCs w:val="16"/>
                <w:color w:val="auto"/>
              </w:rPr>
            </w:pPr>
          </w:p>
        </w:tc>
        <w:tc>
          <w:tcPr>
            <w:tcW w:w="136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4"/>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(Decrease) increase due to:</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57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Rental revenues:</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Acquisitions, dispositions and other</w:t>
            </w: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(30,862)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(3,795)</w:t>
            </w:r>
          </w:p>
        </w:tc>
        <w:tc>
          <w:tcPr>
            <w:tcW w:w="0" w:type="dxa"/>
            <w:vAlign w:val="bottom"/>
          </w:tcPr>
          <w:p>
            <w:pPr>
              <w:spacing w:after="0"/>
              <w:rPr>
                <w:sz w:val="1"/>
                <w:szCs w:val="1"/>
                <w:color w:val="auto"/>
              </w:rPr>
            </w:pPr>
          </w:p>
        </w:tc>
      </w:tr>
      <w:tr>
        <w:trPr>
          <w:trHeight w:val="191"/>
        </w:trPr>
        <w:tc>
          <w:tcPr>
            <w:tcW w:w="5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Development and redevelopment</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Trade shows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Same store operations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79,526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83,987</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(4,461)</w:t>
            </w:r>
          </w:p>
        </w:tc>
        <w:tc>
          <w:tcPr>
            <w:tcW w:w="0" w:type="dxa"/>
            <w:vAlign w:val="bottom"/>
          </w:tcPr>
          <w:p>
            <w:pPr>
              <w:spacing w:after="0"/>
              <w:rPr>
                <w:sz w:val="1"/>
                <w:szCs w:val="1"/>
                <w:color w:val="auto"/>
              </w:rPr>
            </w:pPr>
          </w:p>
        </w:tc>
      </w:tr>
      <w:tr>
        <w:trPr>
          <w:trHeight w:val="199"/>
        </w:trPr>
        <w:tc>
          <w:tcPr>
            <w:tcW w:w="574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44,811</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(7,037)</w:t>
            </w:r>
          </w:p>
        </w:tc>
        <w:tc>
          <w:tcPr>
            <w:tcW w:w="0" w:type="dxa"/>
            <w:vAlign w:val="bottom"/>
          </w:tcPr>
          <w:p>
            <w:pPr>
              <w:spacing w:after="0"/>
              <w:rPr>
                <w:sz w:val="1"/>
                <w:szCs w:val="1"/>
                <w:color w:val="auto"/>
              </w:rPr>
            </w:pPr>
          </w:p>
        </w:tc>
      </w:tr>
      <w:tr>
        <w:trPr>
          <w:trHeight w:val="172"/>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Fee and other income:</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BMS cleaning fees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0" w:type="dxa"/>
            <w:vAlign w:val="bottom"/>
          </w:tcPr>
          <w:p>
            <w:pPr>
              <w:spacing w:after="0"/>
              <w:rPr>
                <w:sz w:val="1"/>
                <w:szCs w:val="1"/>
                <w:color w:val="auto"/>
              </w:rPr>
            </w:pPr>
          </w:p>
        </w:tc>
      </w:tr>
      <w:tr>
        <w:trPr>
          <w:trHeight w:val="191"/>
        </w:trPr>
        <w:tc>
          <w:tcPr>
            <w:tcW w:w="5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Management and leasing fees</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99"/>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income</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(5,486)</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(3,519)</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(1,967)</w:t>
            </w:r>
          </w:p>
        </w:tc>
        <w:tc>
          <w:tcPr>
            <w:tcW w:w="0" w:type="dxa"/>
            <w:vAlign w:val="bottom"/>
          </w:tcPr>
          <w:p>
            <w:pPr>
              <w:spacing w:after="0"/>
              <w:rPr>
                <w:sz w:val="1"/>
                <w:szCs w:val="1"/>
                <w:color w:val="auto"/>
              </w:rPr>
            </w:pPr>
          </w:p>
        </w:tc>
      </w:tr>
      <w:tr>
        <w:trPr>
          <w:trHeight w:val="199"/>
        </w:trPr>
        <w:tc>
          <w:tcPr>
            <w:tcW w:w="5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increase (decrease) in revenues</w:t>
            </w: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32,288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41,292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(9,004)</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Expenses</w:t>
      </w:r>
    </w:p>
    <w:p>
      <w:pPr>
        <w:spacing w:after="0" w:line="5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expenses were $1,290,711,000 for the nine months ended September 30, 2026, compared to $1,163,890,000 for the prior year’s nine months, an increase of $126,821,000. Below are the details of the increase (decrease) by segment: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400" w:type="dxa"/>
            <w:vAlign w:val="bottom"/>
          </w:tcPr>
          <w:p>
            <w:pPr>
              <w:spacing w:after="0"/>
              <w:rPr>
                <w:sz w:val="16"/>
                <w:szCs w:val="16"/>
                <w:color w:val="auto"/>
              </w:rPr>
            </w:pP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6"/>
                <w:szCs w:val="16"/>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400" w:type="dxa"/>
            <w:vAlign w:val="bottom"/>
          </w:tcPr>
          <w:p>
            <w:pPr>
              <w:spacing w:after="0"/>
              <w:rPr>
                <w:sz w:val="16"/>
                <w:szCs w:val="16"/>
                <w:color w:val="auto"/>
              </w:rPr>
            </w:pPr>
          </w:p>
        </w:tc>
        <w:tc>
          <w:tcPr>
            <w:tcW w:w="136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4"/>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Increase (decrease) due to:</w:t>
            </w: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57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Acquisitions, dispositions and other</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Development and redevelopment</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Non-reimbursable expenses</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5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Trade shows</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0" w:type="dxa"/>
            <w:vAlign w:val="bottom"/>
          </w:tcPr>
          <w:p>
            <w:pPr>
              <w:spacing w:after="0"/>
              <w:rPr>
                <w:sz w:val="1"/>
                <w:szCs w:val="1"/>
                <w:color w:val="auto"/>
              </w:rPr>
            </w:pPr>
          </w:p>
        </w:tc>
      </w:tr>
      <w:tr>
        <w:trPr>
          <w:trHeight w:val="206"/>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BMS expenses</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0" w:type="dxa"/>
            <w:vAlign w:val="bottom"/>
          </w:tcPr>
          <w:p>
            <w:pPr>
              <w:spacing w:after="0"/>
              <w:rPr>
                <w:sz w:val="1"/>
                <w:szCs w:val="1"/>
                <w:color w:val="auto"/>
              </w:rPr>
            </w:pPr>
          </w:p>
        </w:tc>
      </w:tr>
      <w:tr>
        <w:trPr>
          <w:trHeight w:val="192"/>
        </w:trPr>
        <w:tc>
          <w:tcPr>
            <w:tcW w:w="5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Same store operations</w:t>
            </w: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21,997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23,469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0" w:type="dxa"/>
            <w:vAlign w:val="bottom"/>
          </w:tcPr>
          <w:p>
            <w:pPr>
              <w:spacing w:after="0"/>
              <w:rPr>
                <w:sz w:val="1"/>
                <w:szCs w:val="1"/>
                <w:color w:val="auto"/>
              </w:rPr>
            </w:pPr>
          </w:p>
        </w:tc>
      </w:tr>
      <w:tr>
        <w:trPr>
          <w:trHeight w:val="199"/>
        </w:trPr>
        <w:tc>
          <w:tcPr>
            <w:tcW w:w="576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31,456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w:t>
            </w:r>
          </w:p>
        </w:tc>
        <w:tc>
          <w:tcPr>
            <w:tcW w:w="0" w:type="dxa"/>
            <w:vAlign w:val="bottom"/>
          </w:tcPr>
          <w:p>
            <w:pPr>
              <w:spacing w:after="0"/>
              <w:rPr>
                <w:sz w:val="1"/>
                <w:szCs w:val="1"/>
                <w:color w:val="auto"/>
              </w:rPr>
            </w:pPr>
          </w:p>
        </w:tc>
      </w:tr>
      <w:tr>
        <w:trPr>
          <w:trHeight w:val="172"/>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Acquisitions, dispositions and other</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w:t>
            </w:r>
          </w:p>
        </w:tc>
        <w:tc>
          <w:tcPr>
            <w:tcW w:w="0" w:type="dxa"/>
            <w:vAlign w:val="bottom"/>
          </w:tcPr>
          <w:p>
            <w:pPr>
              <w:spacing w:after="0"/>
              <w:rPr>
                <w:sz w:val="1"/>
                <w:szCs w:val="1"/>
                <w:color w:val="auto"/>
              </w:rPr>
            </w:pPr>
          </w:p>
        </w:tc>
      </w:tr>
      <w:tr>
        <w:trPr>
          <w:trHeight w:val="191"/>
        </w:trPr>
        <w:tc>
          <w:tcPr>
            <w:tcW w:w="5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Development and redevelopment</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98,780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Same store operations</w:t>
            </w: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(5,987)</w:t>
            </w:r>
          </w:p>
        </w:tc>
        <w:tc>
          <w:tcPr>
            <w:tcW w:w="0" w:type="dxa"/>
            <w:vAlign w:val="bottom"/>
          </w:tcPr>
          <w:p>
            <w:pPr>
              <w:spacing w:after="0"/>
              <w:rPr>
                <w:sz w:val="1"/>
                <w:szCs w:val="1"/>
                <w:color w:val="auto"/>
              </w:rPr>
            </w:pPr>
          </w:p>
        </w:tc>
      </w:tr>
      <w:tr>
        <w:trPr>
          <w:trHeight w:val="192"/>
        </w:trPr>
        <w:tc>
          <w:tcPr>
            <w:tcW w:w="5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109,950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113,720</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(3,770)</w:t>
            </w: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General and administrative</w:t>
            </w:r>
          </w:p>
        </w:tc>
        <w:tc>
          <w:tcPr>
            <w:tcW w:w="4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deferred compensation plan liability</w:t>
            </w: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(10,059)</w:t>
            </w: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 related costs and other</w:t>
            </w:r>
          </w:p>
        </w:tc>
        <w:tc>
          <w:tcPr>
            <w:tcW w:w="4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(3,874)</w:t>
            </w: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increase (decrease) in expenses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126,821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147,656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(20,835)</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Results of Operations – Nine Months Ended September 30, 2026 Compared to September 30, 2025 - continued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from Partially Owned Entities</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are the components of income from partially owned entities.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 Ownership as</w:t>
            </w:r>
          </w:p>
        </w:tc>
        <w:tc>
          <w:tcPr>
            <w:tcW w:w="300" w:type="dxa"/>
            <w:vAlign w:val="bottom"/>
          </w:tcPr>
          <w:p>
            <w:pPr>
              <w:spacing w:after="0"/>
              <w:rPr>
                <w:sz w:val="16"/>
                <w:szCs w:val="16"/>
                <w:color w:val="auto"/>
              </w:rPr>
            </w:pPr>
          </w:p>
        </w:tc>
        <w:tc>
          <w:tcPr>
            <w:tcW w:w="332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24"/>
        </w:trPr>
        <w:tc>
          <w:tcPr>
            <w:tcW w:w="5960" w:type="dxa"/>
            <w:vAlign w:val="bottom"/>
          </w:tcPr>
          <w:p>
            <w:pPr>
              <w:spacing w:after="0"/>
              <w:rPr>
                <w:sz w:val="2"/>
                <w:szCs w:val="2"/>
                <w:color w:val="auto"/>
              </w:rPr>
            </w:pPr>
          </w:p>
        </w:tc>
        <w:tc>
          <w:tcPr>
            <w:tcW w:w="166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Our share of net income (loss):</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of September 30, 2026</w:t>
            </w:r>
          </w:p>
        </w:tc>
        <w:tc>
          <w:tcPr>
            <w:tcW w:w="300" w:type="dxa"/>
            <w:vAlign w:val="bottom"/>
          </w:tcPr>
          <w:p>
            <w:pPr>
              <w:spacing w:after="0"/>
              <w:rPr>
                <w:sz w:val="16"/>
                <w:szCs w:val="16"/>
                <w:color w:val="auto"/>
              </w:rPr>
            </w:pPr>
          </w:p>
        </w:tc>
        <w:tc>
          <w:tcPr>
            <w:tcW w:w="146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0"/>
        </w:trPr>
        <w:tc>
          <w:tcPr>
            <w:tcW w:w="5960" w:type="dxa"/>
            <w:vAlign w:val="bottom"/>
            <w:vMerge w:val="continue"/>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Fifth Avenue and Times Square JV:</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Equity in net income</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11,772</w:t>
            </w:r>
          </w:p>
        </w:tc>
        <w:tc>
          <w:tcPr>
            <w:tcW w:w="0" w:type="dxa"/>
            <w:vAlign w:val="bottom"/>
          </w:tcPr>
          <w:p>
            <w:pPr>
              <w:spacing w:after="0"/>
              <w:rPr>
                <w:sz w:val="1"/>
                <w:szCs w:val="1"/>
                <w:color w:val="auto"/>
              </w:rPr>
            </w:pPr>
          </w:p>
        </w:tc>
      </w:tr>
      <w:tr>
        <w:trPr>
          <w:trHeight w:val="191"/>
        </w:trPr>
        <w:tc>
          <w:tcPr>
            <w:tcW w:w="5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Return on preferred equity, net of our share of the expense</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21,287</w:t>
            </w:r>
          </w:p>
        </w:tc>
        <w:tc>
          <w:tcPr>
            <w:tcW w:w="0" w:type="dxa"/>
            <w:vAlign w:val="bottom"/>
          </w:tcPr>
          <w:p>
            <w:pPr>
              <w:spacing w:after="0"/>
              <w:rPr>
                <w:sz w:val="1"/>
                <w:szCs w:val="1"/>
                <w:color w:val="auto"/>
              </w:rPr>
            </w:pPr>
          </w:p>
        </w:tc>
      </w:tr>
      <w:tr>
        <w:trPr>
          <w:trHeight w:val="199"/>
        </w:trPr>
        <w:tc>
          <w:tcPr>
            <w:tcW w:w="5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Net gain on sale</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76,162</w:t>
            </w:r>
          </w:p>
        </w:tc>
        <w:tc>
          <w:tcPr>
            <w:tcW w:w="0" w:type="dxa"/>
            <w:vAlign w:val="bottom"/>
          </w:tcPr>
          <w:p>
            <w:pPr>
              <w:spacing w:after="0"/>
              <w:rPr>
                <w:sz w:val="1"/>
                <w:szCs w:val="1"/>
                <w:color w:val="auto"/>
              </w:rPr>
            </w:pPr>
          </w:p>
        </w:tc>
      </w:tr>
      <w:tr>
        <w:trPr>
          <w:trHeight w:val="191"/>
        </w:trPr>
        <w:tc>
          <w:tcPr>
            <w:tcW w:w="59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32,107</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109,221</w:t>
            </w:r>
          </w:p>
        </w:tc>
        <w:tc>
          <w:tcPr>
            <w:tcW w:w="0" w:type="dxa"/>
            <w:vAlign w:val="bottom"/>
          </w:tcPr>
          <w:p>
            <w:pPr>
              <w:spacing w:after="0"/>
              <w:rPr>
                <w:sz w:val="1"/>
                <w:szCs w:val="1"/>
                <w:color w:val="auto"/>
              </w:rPr>
            </w:pPr>
          </w:p>
        </w:tc>
      </w:tr>
      <w:tr>
        <w:trPr>
          <w:trHeight w:val="206"/>
        </w:trPr>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Alexander's</w:t>
            </w:r>
            <w:r>
              <w:rPr>
                <w:rFonts w:ascii="Times New Roman" w:cs="Times New Roman" w:eastAsia="Times New Roman" w:hAnsi="Times New Roman"/>
                <w:sz w:val="18"/>
                <w:szCs w:val="18"/>
                <w:b w:val="1"/>
                <w:bCs w:val="1"/>
                <w:color w:val="auto"/>
                <w:vertAlign w:val="superscript"/>
              </w:rPr>
              <w:t>(1)</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32.4%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64,658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12,355</w:t>
            </w:r>
          </w:p>
        </w:tc>
        <w:tc>
          <w:tcPr>
            <w:tcW w:w="0" w:type="dxa"/>
            <w:vAlign w:val="bottom"/>
          </w:tcPr>
          <w:p>
            <w:pPr>
              <w:spacing w:after="0"/>
              <w:rPr>
                <w:sz w:val="1"/>
                <w:szCs w:val="1"/>
                <w:color w:val="auto"/>
              </w:rPr>
            </w:pPr>
          </w:p>
        </w:tc>
      </w:tr>
      <w:tr>
        <w:trPr>
          <w:trHeight w:val="199"/>
        </w:trPr>
        <w:tc>
          <w:tcPr>
            <w:tcW w:w="5960" w:type="dxa"/>
            <w:vAlign w:val="bottom"/>
          </w:tcPr>
          <w:p>
            <w:pPr>
              <w:ind w:left="100"/>
              <w:spacing w:after="0" w:line="199" w:lineRule="exact"/>
              <w:rPr>
                <w:sz w:val="20"/>
                <w:szCs w:val="20"/>
                <w:color w:val="auto"/>
              </w:rPr>
            </w:pPr>
            <w:r>
              <w:rPr>
                <w:rFonts w:ascii="Times New Roman" w:cs="Times New Roman" w:eastAsia="Times New Roman" w:hAnsi="Times New Roman"/>
                <w:sz w:val="14"/>
                <w:szCs w:val="14"/>
                <w:color w:val="auto"/>
              </w:rPr>
              <w:t xml:space="preserve">Partially owned office buildings </w:t>
            </w:r>
            <w:r>
              <w:rPr>
                <w:rFonts w:ascii="Times New Roman" w:cs="Times New Roman" w:eastAsia="Times New Roman" w:hAnsi="Times New Roman"/>
                <w:sz w:val="18"/>
                <w:szCs w:val="18"/>
                <w:b w:val="1"/>
                <w:bCs w:val="1"/>
                <w:color w:val="auto"/>
                <w:vertAlign w:val="superscript"/>
              </w:rPr>
              <w:t>(2) (3)</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Various</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0" w:type="dxa"/>
            <w:vAlign w:val="bottom"/>
          </w:tcPr>
          <w:p>
            <w:pPr>
              <w:spacing w:after="0"/>
              <w:rPr>
                <w:sz w:val="1"/>
                <w:szCs w:val="1"/>
                <w:color w:val="auto"/>
              </w:rPr>
            </w:pPr>
          </w:p>
        </w:tc>
      </w:tr>
      <w:tr>
        <w:trPr>
          <w:trHeight w:val="199"/>
        </w:trPr>
        <w:tc>
          <w:tcPr>
            <w:tcW w:w="5960" w:type="dxa"/>
            <w:vAlign w:val="bottom"/>
            <w:shd w:val="clear" w:color="auto" w:fill="CCEEFF"/>
          </w:tcPr>
          <w:p>
            <w:pPr>
              <w:ind w:left="100"/>
              <w:spacing w:after="0" w:line="199" w:lineRule="exact"/>
              <w:rPr>
                <w:sz w:val="20"/>
                <w:szCs w:val="20"/>
                <w:color w:val="auto"/>
              </w:rPr>
            </w:pPr>
            <w:r>
              <w:rPr>
                <w:rFonts w:ascii="Times New Roman" w:cs="Times New Roman" w:eastAsia="Times New Roman" w:hAnsi="Times New Roman"/>
                <w:sz w:val="14"/>
                <w:szCs w:val="14"/>
                <w:color w:val="auto"/>
              </w:rPr>
              <w:t>Other investments</w:t>
            </w:r>
            <w:r>
              <w:rPr>
                <w:rFonts w:ascii="Times New Roman" w:cs="Times New Roman" w:eastAsia="Times New Roman" w:hAnsi="Times New Roman"/>
                <w:sz w:val="18"/>
                <w:szCs w:val="18"/>
                <w:b w:val="1"/>
                <w:bCs w:val="1"/>
                <w:color w:val="auto"/>
                <w:vertAlign w:val="superscript"/>
              </w:rPr>
              <w:t>(4)</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Various</w:t>
            </w:r>
          </w:p>
        </w:tc>
        <w:tc>
          <w:tcPr>
            <w:tcW w:w="3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11,058</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13,036</w:t>
            </w:r>
          </w:p>
        </w:tc>
        <w:tc>
          <w:tcPr>
            <w:tcW w:w="0" w:type="dxa"/>
            <w:vAlign w:val="bottom"/>
          </w:tcPr>
          <w:p>
            <w:pPr>
              <w:spacing w:after="0"/>
              <w:rPr>
                <w:sz w:val="1"/>
                <w:szCs w:val="1"/>
                <w:color w:val="auto"/>
              </w:rPr>
            </w:pPr>
          </w:p>
        </w:tc>
      </w:tr>
      <w:tr>
        <w:trPr>
          <w:trHeight w:val="185"/>
        </w:trPr>
        <w:tc>
          <w:tcPr>
            <w:tcW w:w="59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99,335</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135,588</w:t>
            </w:r>
          </w:p>
        </w:tc>
        <w:tc>
          <w:tcPr>
            <w:tcW w:w="0" w:type="dxa"/>
            <w:vAlign w:val="bottom"/>
          </w:tcPr>
          <w:p>
            <w:pPr>
              <w:spacing w:after="0"/>
              <w:rPr>
                <w:sz w:val="1"/>
                <w:szCs w:val="1"/>
                <w:color w:val="auto"/>
              </w:rPr>
            </w:pPr>
          </w:p>
        </w:tc>
      </w:tr>
      <w:tr>
        <w:trPr>
          <w:trHeight w:val="26"/>
        </w:trPr>
        <w:tc>
          <w:tcPr>
            <w:tcW w:w="5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_____________________</w:t>
      </w:r>
    </w:p>
    <w:p>
      <w:pPr>
        <w:spacing w:after="0" w:line="39" w:lineRule="exact"/>
        <w:rPr>
          <w:sz w:val="20"/>
          <w:szCs w:val="20"/>
          <w:color w:val="auto"/>
        </w:rPr>
      </w:pPr>
    </w:p>
    <w:p>
      <w:pPr>
        <w:ind w:left="320" w:hanging="314"/>
        <w:spacing w:after="0" w:line="265" w:lineRule="auto"/>
        <w:tabs>
          <w:tab w:leader="none" w:pos="312"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May 28, 2026, Alexander’s completed the sale of its Rego Park I property for $235,500. As a result of the sale, we recognized our $44,329 share of the net gain and received a $2,355 sales commission paid by Alexander’s, of which $500 was paid to a third-party broker. Additionally, 2026 includes termination income at the Rego Park shopping center.</w:t>
      </w:r>
    </w:p>
    <w:p>
      <w:pPr>
        <w:ind w:left="320" w:hanging="314"/>
        <w:spacing w:after="0"/>
        <w:tabs>
          <w:tab w:leader="none" w:pos="320"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interests in 280 Park Avenue, Park Avenue Plaza, 7 West 34th Street, 61 Ninth Avenue, 85 Tenth Avenue and others.</w:t>
      </w:r>
    </w:p>
    <w:p>
      <w:pPr>
        <w:spacing w:after="0" w:line="11"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2025 includes the $11,002 gain associated with the sale of 512 West 22nd Street.</w:t>
      </w:r>
    </w:p>
    <w:p>
      <w:pPr>
        <w:spacing w:after="0" w:line="2"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interests in Independence Plaza, Pier 94 JV, Rosslyn Plaza and others.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and Other Investment Income, Net</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details of interest and other investment income, net.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60" w:type="dxa"/>
            <w:vAlign w:val="bottom"/>
          </w:tcPr>
          <w:p>
            <w:pPr>
              <w:spacing w:after="0"/>
              <w:rPr>
                <w:sz w:val="16"/>
                <w:szCs w:val="16"/>
                <w:color w:val="auto"/>
              </w:rPr>
            </w:pPr>
          </w:p>
        </w:tc>
        <w:tc>
          <w:tcPr>
            <w:tcW w:w="3180" w:type="dxa"/>
            <w:vAlign w:val="bottom"/>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4"/>
        </w:trPr>
        <w:tc>
          <w:tcPr>
            <w:tcW w:w="7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78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on cash and cash equivalents and restricted cash</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27,729</w:t>
            </w:r>
          </w:p>
        </w:tc>
      </w:tr>
      <w:tr>
        <w:trPr>
          <w:trHeight w:val="19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on loans receivable</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6,681</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real estate fund investments</w:t>
            </w:r>
          </w:p>
        </w:tc>
        <w:tc>
          <w:tcPr>
            <w:tcW w:w="2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5,601</w:t>
            </w:r>
          </w:p>
        </w:tc>
      </w:tr>
      <w:tr>
        <w:trPr>
          <w:trHeight w:val="19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w:t>
            </w:r>
          </w:p>
        </w:tc>
      </w:tr>
      <w:tr>
        <w:trPr>
          <w:trHeight w:val="217"/>
        </w:trPr>
        <w:tc>
          <w:tcPr>
            <w:tcW w:w="78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23,423</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41,730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and Debt Expense</w:t>
      </w:r>
    </w:p>
    <w:p>
      <w:pPr>
        <w:spacing w:after="0" w:line="45"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Interest and debt expense was $267,502,000 for the nine months ended September 30, 2026, compared to $268,204,000 for the prior year’s nine months, a decrease of $702,000. This was primarily due to (i) $20,257,000 of lower amortization of interest rate cap premiums, (ii) $12,828,000 of lower interest expense resulting from lower average debt balances, and (iii) $3,325,000 of higher capitalized interest, partially offset by (iv) $20,617,000 of higher interest expense due to the January 2026 public offering of $500,000,000 5.75% senior unsecured notes, (v) $13,686,000 of higher interest expense resulting from higher average interest rates, inclusive of the impact of our interest rate hedging instruments, and (vi) $1,298,000 of higher amortization of deferred financing costs.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sales-type lease</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Gain on sales-type lease for the nine months ended September 30, 2025 was $803,248,000, resulting from the 770 Broadway master lease with NYU.</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Expense</w:t>
      </w:r>
    </w:p>
    <w:p>
      <w:pPr>
        <w:spacing w:after="0" w:line="5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Income tax expense for the nine months ended September 30, 2026 was $13,147,000, compared to $5,727,000 for the prior year’s nine months, an increase of $7,420,000. This was primarily due to higher income tax expense incurred by our taxable REIT subsidiaries.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 Attributable to Noncontrolling Interests in Consolidated Subsidiaries</w:t>
      </w:r>
    </w:p>
    <w:p>
      <w:pPr>
        <w:spacing w:after="0" w:line="5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loss attributable to noncontrolling interests in consolidated subsidiaries was $17,122,000 for the nine months ended September 30, 2026, compared to $30,326,000 for the prior year’s nine months, a decrease of $13,204,000. This was primarily due to the allocation of the debt extinguishment gain recognized on 606 Broadway.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Results of Operations – Nine Months Ended September 30, 2026 Compared to September 30, 2025 - continued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Same Store Net Operating Income At Share</w:t>
      </w:r>
    </w:p>
    <w:p>
      <w:pPr>
        <w:spacing w:after="0" w:line="45"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8"/>
          <w:szCs w:val="18"/>
          <w:color w:val="auto"/>
        </w:rPr>
        <w:t>Below are reconciliations of NOI at share to same store NOI at share and NOI at share - cash basis to same store NOI at share - cash basis for our New York segment, THE MART, 555 California Street and other investments for the nine months ended September 30, 2026 compared to September 30, 2025.</w:t>
      </w:r>
    </w:p>
    <w:tbl>
      <w:tblPr>
        <w:tblLayout w:type="fixed"/>
        <w:tblInd w:w="0" w:type="dxa"/>
        <w:tblCellMar>
          <w:top w:w="0" w:type="dxa"/>
          <w:left w:w="0" w:type="dxa"/>
          <w:bottom w:w="0" w:type="dxa"/>
          <w:right w:w="0" w:type="dxa"/>
        </w:tblCellMar>
      </w:tblPr>
      <w:tr>
        <w:trPr>
          <w:trHeight w:val="144"/>
        </w:trPr>
        <w:tc>
          <w:tcPr>
            <w:tcW w:w="49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(Amounts in thousands)</w:t>
            </w:r>
          </w:p>
        </w:tc>
        <w:tc>
          <w:tcPr>
            <w:tcW w:w="260" w:type="dxa"/>
            <w:vAlign w:val="bottom"/>
          </w:tcPr>
          <w:p>
            <w:pPr>
              <w:spacing w:after="0"/>
              <w:rPr>
                <w:sz w:val="12"/>
                <w:szCs w:val="12"/>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180" w:type="dxa"/>
            <w:vAlign w:val="bottom"/>
          </w:tcPr>
          <w:p>
            <w:pPr>
              <w:spacing w:after="0"/>
              <w:rPr>
                <w:sz w:val="12"/>
                <w:szCs w:val="12"/>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THE MART</w:t>
            </w: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555 California</w:t>
            </w:r>
          </w:p>
        </w:tc>
        <w:tc>
          <w:tcPr>
            <w:tcW w:w="260" w:type="dxa"/>
            <w:vAlign w:val="bottom"/>
          </w:tcPr>
          <w:p>
            <w:pPr>
              <w:spacing w:after="0"/>
              <w:rPr>
                <w:sz w:val="12"/>
                <w:szCs w:val="12"/>
                <w:color w:val="auto"/>
              </w:rPr>
            </w:pPr>
          </w:p>
        </w:tc>
        <w:tc>
          <w:tcPr>
            <w:tcW w:w="90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Street</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 for the nine months ended September 30, 2026</w:t>
            </w: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876,241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748,867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57,137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44,332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25,905</w:t>
            </w:r>
          </w:p>
        </w:tc>
        <w:tc>
          <w:tcPr>
            <w:tcW w:w="0" w:type="dxa"/>
            <w:vAlign w:val="bottom"/>
          </w:tcPr>
          <w:p>
            <w:pPr>
              <w:spacing w:after="0"/>
              <w:rPr>
                <w:sz w:val="1"/>
                <w:szCs w:val="1"/>
                <w:color w:val="auto"/>
              </w:rPr>
            </w:pPr>
          </w:p>
        </w:tc>
      </w:tr>
      <w:tr>
        <w:trPr>
          <w:trHeight w:val="19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NOI at share from:</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Acquisitions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(14,543)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(14,543)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Dispositions</w:t>
            </w:r>
          </w:p>
        </w:tc>
        <w:tc>
          <w:tcPr>
            <w:tcW w:w="26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Development properties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(8,841)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(8,841)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4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non-same store income, net</w:t>
            </w:r>
          </w:p>
        </w:tc>
        <w:tc>
          <w:tcPr>
            <w:tcW w:w="260" w:type="dxa"/>
            <w:vAlign w:val="bottom"/>
          </w:tcPr>
          <w:p>
            <w:pPr>
              <w:spacing w:after="0"/>
              <w:rPr>
                <w:sz w:val="16"/>
                <w:szCs w:val="16"/>
                <w:color w:val="auto"/>
              </w:rPr>
            </w:pPr>
          </w:p>
        </w:tc>
        <w:tc>
          <w:tcPr>
            <w:tcW w:w="9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(51,669)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(25,654)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(25,905)</w:t>
            </w:r>
          </w:p>
        </w:tc>
        <w:tc>
          <w:tcPr>
            <w:tcW w:w="0" w:type="dxa"/>
            <w:vAlign w:val="bottom"/>
          </w:tcPr>
          <w:p>
            <w:pPr>
              <w:spacing w:after="0"/>
              <w:rPr>
                <w:sz w:val="1"/>
                <w:szCs w:val="1"/>
                <w:color w:val="auto"/>
              </w:rPr>
            </w:pPr>
          </w:p>
        </w:tc>
      </w:tr>
      <w:tr>
        <w:trPr>
          <w:trHeight w:val="224"/>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Same store NOI at share for the nine months ended September 30, 2026</w:t>
            </w: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802,366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701,039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56,995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44,332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4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 for the nine months ended September 30, 2025</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837,639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711,067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54,388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53,822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18,362</w:t>
            </w:r>
          </w:p>
        </w:tc>
        <w:tc>
          <w:tcPr>
            <w:tcW w:w="0" w:type="dxa"/>
            <w:vAlign w:val="bottom"/>
          </w:tcPr>
          <w:p>
            <w:pPr>
              <w:spacing w:after="0"/>
              <w:rPr>
                <w:sz w:val="1"/>
                <w:szCs w:val="1"/>
                <w:color w:val="auto"/>
              </w:rPr>
            </w:pPr>
          </w:p>
        </w:tc>
      </w:tr>
      <w:tr>
        <w:trPr>
          <w:trHeight w:val="19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NOI at share from:</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Dispositions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(2,283)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(2,042)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(241)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Development properties</w:t>
            </w:r>
          </w:p>
        </w:tc>
        <w:tc>
          <w:tcPr>
            <w:tcW w:w="260" w:type="dxa"/>
            <w:vAlign w:val="bottom"/>
          </w:tcPr>
          <w:p>
            <w:pPr>
              <w:spacing w:after="0"/>
              <w:rPr>
                <w:sz w:val="16"/>
                <w:szCs w:val="16"/>
                <w:color w:val="auto"/>
              </w:rPr>
            </w:pPr>
          </w:p>
        </w:tc>
        <w:tc>
          <w:tcPr>
            <w:tcW w:w="9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(36,219)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(36,219)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4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non-same store income, net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(58,980)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(37,884)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(2,734)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(18,362)</w:t>
            </w:r>
          </w:p>
        </w:tc>
        <w:tc>
          <w:tcPr>
            <w:tcW w:w="0" w:type="dxa"/>
            <w:vAlign w:val="bottom"/>
          </w:tcPr>
          <w:p>
            <w:pPr>
              <w:spacing w:after="0"/>
              <w:rPr>
                <w:sz w:val="1"/>
                <w:szCs w:val="1"/>
                <w:color w:val="auto"/>
              </w:rPr>
            </w:pPr>
          </w:p>
        </w:tc>
      </w:tr>
      <w:tr>
        <w:trPr>
          <w:trHeight w:val="199"/>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Same store NOI at share for the nine months ended September 30, 2025</w:t>
            </w: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740,157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634,922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54,147</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51,088</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(decrease) in same store NOI at share</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62,209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66,117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2,848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(6,756)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increase (decrease) in same store NOI at share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6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16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THE MART</w:t>
            </w:r>
          </w:p>
        </w:tc>
        <w:tc>
          <w:tcPr>
            <w:tcW w:w="10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555 California</w:t>
            </w:r>
          </w:p>
        </w:tc>
        <w:tc>
          <w:tcPr>
            <w:tcW w:w="260" w:type="dxa"/>
            <w:vAlign w:val="bottom"/>
          </w:tcPr>
          <w:p>
            <w:pPr>
              <w:spacing w:after="0"/>
              <w:rPr>
                <w:sz w:val="13"/>
                <w:szCs w:val="13"/>
                <w:color w:val="auto"/>
              </w:rPr>
            </w:pPr>
          </w:p>
        </w:tc>
        <w:tc>
          <w:tcPr>
            <w:tcW w:w="90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2"/>
        </w:trPr>
        <w:tc>
          <w:tcPr>
            <w:tcW w:w="4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Street</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 - cash basis for the nine months ended September 30, 2026</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759,899</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641,484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62,069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29,933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26,413</w:t>
            </w:r>
          </w:p>
        </w:tc>
        <w:tc>
          <w:tcPr>
            <w:tcW w:w="0" w:type="dxa"/>
            <w:vAlign w:val="bottom"/>
          </w:tcPr>
          <w:p>
            <w:pPr>
              <w:spacing w:after="0"/>
              <w:rPr>
                <w:sz w:val="1"/>
                <w:szCs w:val="1"/>
                <w:color w:val="auto"/>
              </w:rPr>
            </w:pPr>
          </w:p>
        </w:tc>
      </w:tr>
      <w:tr>
        <w:trPr>
          <w:trHeight w:val="191"/>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NOI at share - cash basis from:</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Acquisitions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(8,145)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(8,145)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Dispositions</w:t>
            </w:r>
          </w:p>
        </w:tc>
        <w:tc>
          <w:tcPr>
            <w:tcW w:w="26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1,178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1,210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Development properties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(7,156)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(7,156)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4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non-same store income, net</w:t>
            </w:r>
          </w:p>
        </w:tc>
        <w:tc>
          <w:tcPr>
            <w:tcW w:w="260" w:type="dxa"/>
            <w:vAlign w:val="bottom"/>
          </w:tcPr>
          <w:p>
            <w:pPr>
              <w:spacing w:after="0"/>
              <w:rPr>
                <w:sz w:val="16"/>
                <w:szCs w:val="16"/>
                <w:color w:val="auto"/>
              </w:rPr>
            </w:pP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(70,900)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(44,377)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(26,413)</w:t>
            </w:r>
          </w:p>
        </w:tc>
        <w:tc>
          <w:tcPr>
            <w:tcW w:w="0" w:type="dxa"/>
            <w:vAlign w:val="bottom"/>
          </w:tcPr>
          <w:p>
            <w:pPr>
              <w:spacing w:after="0"/>
              <w:rPr>
                <w:sz w:val="1"/>
                <w:szCs w:val="1"/>
                <w:color w:val="auto"/>
              </w:rPr>
            </w:pPr>
          </w:p>
        </w:tc>
      </w:tr>
      <w:tr>
        <w:trPr>
          <w:trHeight w:val="224"/>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Same store NOI at share - cash basis for the nine months ended September 30, 2026</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674,876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583,016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61,927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29,933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4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 - cash basis for the nine months ended September 30, 2025</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737,020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608,105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56,042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55,276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17,597</w:t>
            </w:r>
          </w:p>
        </w:tc>
        <w:tc>
          <w:tcPr>
            <w:tcW w:w="0" w:type="dxa"/>
            <w:vAlign w:val="bottom"/>
          </w:tcPr>
          <w:p>
            <w:pPr>
              <w:spacing w:after="0"/>
              <w:rPr>
                <w:sz w:val="1"/>
                <w:szCs w:val="1"/>
                <w:color w:val="auto"/>
              </w:rPr>
            </w:pPr>
          </w:p>
        </w:tc>
      </w:tr>
      <w:tr>
        <w:trPr>
          <w:trHeight w:val="191"/>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NOI at share - cash basis from:</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Dispositions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(2,742)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(2,499)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(243)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Development properties</w:t>
            </w:r>
          </w:p>
        </w:tc>
        <w:tc>
          <w:tcPr>
            <w:tcW w:w="260" w:type="dxa"/>
            <w:vAlign w:val="bottom"/>
          </w:tcPr>
          <w:p>
            <w:pPr>
              <w:spacing w:after="0"/>
              <w:rPr>
                <w:sz w:val="16"/>
                <w:szCs w:val="16"/>
                <w:color w:val="auto"/>
              </w:rPr>
            </w:pP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(35,625)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(35,625)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4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non-same store income, net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(34,294)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(13,437)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(3,260)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(17,597)</w:t>
            </w:r>
          </w:p>
        </w:tc>
        <w:tc>
          <w:tcPr>
            <w:tcW w:w="0" w:type="dxa"/>
            <w:vAlign w:val="bottom"/>
          </w:tcPr>
          <w:p>
            <w:pPr>
              <w:spacing w:after="0"/>
              <w:rPr>
                <w:sz w:val="1"/>
                <w:szCs w:val="1"/>
                <w:color w:val="auto"/>
              </w:rPr>
            </w:pPr>
          </w:p>
        </w:tc>
      </w:tr>
      <w:tr>
        <w:trPr>
          <w:trHeight w:val="199"/>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Same store NOI at share - cash basis for the nine months ended September 30, 2025</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664,359</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556,544</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55,799</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52,016</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(decrease) in same store NOI at share - cash basis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10,517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26,472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6,128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(22,083)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4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increase (decrease) in same store NOI at share - cash basis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0" w:lineRule="exact"/>
        <w:rPr>
          <w:sz w:val="20"/>
          <w:szCs w:val="20"/>
          <w:color w:val="auto"/>
        </w:rPr>
      </w:pPr>
    </w:p>
    <w:p>
      <w:pPr>
        <w:spacing w:after="0" w:line="20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cash requirements include property operating expenses, capital improvements, tenant improvements, debt service, leasing commissions, dividends to our shareholders, distributions to unitholders of the Operating Partnership, as well as acquisition and development and redevelopment costs. The sources of liquidity to fund these cash requirements include rental revenue, which is our primary source of cash flow and is dependent upon the occupancy and rental rates of our properties; proceeds from debt financings, including mortgage loans, senior unsecured borrowings, unsecured term loans and unsecured revolving credit facilities; proceeds from the issuance of common and preferred equity; and asset sales.</w:t>
      </w:r>
    </w:p>
    <w:p>
      <w:pPr>
        <w:spacing w:after="0" w:line="2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As of September 30, 2026, we had $1.9 billion of liquidity comprised of $724.0 million of cash and cash equivalents and restricted cash and $1.2 billion available on our $2.1 billion revolving credit facilities. The ongoing challenges posed by fluctuations in interest rates and the effects of inflation could adversely impact our cash flow from continuing operations but we anticipate that cash flow from continuing operations over the next twelve months together with cash balances on hand will be adequate to fund our business operations, cash distributions to unitholders of the Operating Partnership, cash dividends to our shareholders, debt amortization and recurring capital expenditures. We anticipate that we will pay a common share dividend for 2026 in December, subject to approval by our Board of Trustees. Capital requirements for development and redevelopment expenditures and acquisitions may require funding from borrowings, equity offerings and/or asset sales.</w:t>
      </w:r>
    </w:p>
    <w:p>
      <w:pPr>
        <w:spacing w:after="0" w:line="2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may from time to time repurchase or retire our outstanding debt securities or repurchase or redeem our equity securities. Such purchases, if any, will depend on prevailing market conditions, liquidity requirements and other factors. The amounts involved in connection with these transactions could be material to our consolidated financial statements.</w:t>
      </w:r>
    </w:p>
    <w:p>
      <w:pPr>
        <w:spacing w:after="0" w:line="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April 2026, our Board of Trustees authorized an additional $300,000,000 repurchase of our outstanding common shares under the share repurchase plan. As of September 30, 2026, $286,590,000 remained available and authorized for repurchases under the plan.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Summary of Cash Flows</w:t>
      </w:r>
    </w:p>
    <w:p>
      <w:pPr>
        <w:spacing w:after="0" w:line="5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Cash and cash equivalents and restricted cash was $723,835,000 as of September 30, 2026, a $253,711,000 decrease from the balance as of December 31, 2025.</w:t>
      </w:r>
    </w:p>
    <w:p>
      <w:pPr>
        <w:spacing w:after="0" w:line="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cash flow activities are summarized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60" w:type="dxa"/>
            <w:vAlign w:val="bottom"/>
          </w:tcPr>
          <w:p>
            <w:pPr>
              <w:spacing w:after="0"/>
              <w:rPr>
                <w:sz w:val="17"/>
                <w:szCs w:val="17"/>
                <w:color w:val="auto"/>
              </w:rPr>
            </w:pPr>
          </w:p>
        </w:tc>
        <w:tc>
          <w:tcPr>
            <w:tcW w:w="3180" w:type="dxa"/>
            <w:vAlign w:val="bottom"/>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gridSpan w:val="2"/>
            <w:vMerge w:val="restart"/>
          </w:tcPr>
          <w:p>
            <w:pPr>
              <w:jc w:val="center"/>
              <w:ind w:right="389"/>
              <w:spacing w:after="0"/>
              <w:rPr>
                <w:sz w:val="20"/>
                <w:szCs w:val="20"/>
                <w:color w:val="auto"/>
              </w:rPr>
            </w:pPr>
            <w:r>
              <w:rPr>
                <w:rFonts w:ascii="Times New Roman" w:cs="Times New Roman" w:eastAsia="Times New Roman" w:hAnsi="Times New Roman"/>
                <w:sz w:val="14"/>
                <w:szCs w:val="14"/>
                <w:b w:val="1"/>
                <w:bCs w:val="1"/>
                <w:color w:val="auto"/>
                <w:w w:val="99"/>
              </w:rPr>
              <w:t>(Decrease) Increase in</w:t>
            </w:r>
          </w:p>
        </w:tc>
        <w:tc>
          <w:tcPr>
            <w:tcW w:w="0" w:type="dxa"/>
            <w:vAlign w:val="bottom"/>
          </w:tcPr>
          <w:p>
            <w:pPr>
              <w:spacing w:after="0"/>
              <w:rPr>
                <w:sz w:val="1"/>
                <w:szCs w:val="1"/>
                <w:color w:val="auto"/>
              </w:rPr>
            </w:pPr>
          </w:p>
        </w:tc>
      </w:tr>
      <w:tr>
        <w:trPr>
          <w:trHeight w:val="24"/>
        </w:trPr>
        <w:tc>
          <w:tcPr>
            <w:tcW w:w="5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2"/>
          </w:tcPr>
          <w:p>
            <w:pPr>
              <w:jc w:val="center"/>
              <w:ind w:right="389"/>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0" w:type="dxa"/>
            <w:vAlign w:val="bottom"/>
          </w:tcPr>
          <w:p>
            <w:pPr>
              <w:spacing w:after="0"/>
              <w:rPr>
                <w:sz w:val="1"/>
                <w:szCs w:val="1"/>
                <w:color w:val="auto"/>
              </w:rPr>
            </w:pPr>
          </w:p>
        </w:tc>
      </w:tr>
      <w:tr>
        <w:trPr>
          <w:trHeight w:val="198"/>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262,997</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1,112,112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(849,115)</w:t>
            </w:r>
          </w:p>
        </w:tc>
        <w:tc>
          <w:tcPr>
            <w:tcW w:w="3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(600,539)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(809,063)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83,831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(1,118,160)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1,201,991</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____________________</w:t>
      </w:r>
    </w:p>
    <w:p>
      <w:pPr>
        <w:spacing w:after="0" w:line="92" w:lineRule="exact"/>
        <w:rPr>
          <w:sz w:val="20"/>
          <w:szCs w:val="20"/>
          <w:color w:val="auto"/>
        </w:rPr>
      </w:pPr>
    </w:p>
    <w:p>
      <w:pPr>
        <w:ind w:left="320" w:hanging="314"/>
        <w:spacing w:after="0"/>
        <w:tabs>
          <w:tab w:leader="none" w:pos="320"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Decrease is primarily due to the $935,000 prepaid lease payment received from New York University (“NYU”) in 2025 as a result of the completed master lease at 770 Broadway.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6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Net cash provided by operating activities primarily consists of cash inflows from rental revenues and operating distributions from our unconsolidated partially owned entities less cash outflows for property expenses, general and administrative expenses and interest expense. For the nine months ended September 30, 2026, net cash provided by operating activities of $262,997,000 was comprised of $355,675,000 of cash from operations, including distributions of income from partially owned entities of $86,015,000, and a net decrease of $92,678,000 in cash due to the timing of cash receipts and payments related to changes in operating assets and liabilities.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6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Net cash (used in) provided by investing activities is impacted by the timing and extent of our development, capital improvement, acquisition and disposition activities during the year.</w:t>
      </w:r>
    </w:p>
    <w:p>
      <w:pPr>
        <w:spacing w:after="0" w:line="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details the net cash (used in) provided by investing activities: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40" w:type="dxa"/>
            <w:vAlign w:val="bottom"/>
          </w:tcPr>
          <w:p>
            <w:pPr>
              <w:spacing w:after="0"/>
              <w:rPr>
                <w:sz w:val="17"/>
                <w:szCs w:val="17"/>
                <w:color w:val="auto"/>
              </w:rPr>
            </w:pPr>
          </w:p>
        </w:tc>
        <w:tc>
          <w:tcPr>
            <w:tcW w:w="31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20" w:type="dxa"/>
            <w:vAlign w:val="bottom"/>
          </w:tcPr>
          <w:p>
            <w:pPr>
              <w:spacing w:after="0"/>
              <w:rPr>
                <w:sz w:val="17"/>
                <w:szCs w:val="17"/>
                <w:color w:val="auto"/>
              </w:rPr>
            </w:pPr>
          </w:p>
        </w:tc>
        <w:tc>
          <w:tcPr>
            <w:tcW w:w="150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(Decrease) Increase in</w:t>
            </w:r>
          </w:p>
        </w:tc>
        <w:tc>
          <w:tcPr>
            <w:tcW w:w="0" w:type="dxa"/>
            <w:vAlign w:val="bottom"/>
          </w:tcPr>
          <w:p>
            <w:pPr>
              <w:spacing w:after="0"/>
              <w:rPr>
                <w:sz w:val="1"/>
                <w:szCs w:val="1"/>
                <w:color w:val="auto"/>
              </w:rPr>
            </w:pPr>
          </w:p>
        </w:tc>
      </w:tr>
      <w:tr>
        <w:trPr>
          <w:trHeight w:val="24"/>
        </w:trPr>
        <w:tc>
          <w:tcPr>
            <w:tcW w:w="6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0" w:type="dxa"/>
            <w:vAlign w:val="bottom"/>
          </w:tcPr>
          <w:p>
            <w:pPr>
              <w:spacing w:after="0"/>
              <w:rPr>
                <w:sz w:val="1"/>
                <w:szCs w:val="1"/>
                <w:color w:val="auto"/>
              </w:rPr>
            </w:pPr>
          </w:p>
        </w:tc>
      </w:tr>
      <w:tr>
        <w:trPr>
          <w:trHeight w:val="19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partially owned entities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(297,123)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(267,961)</w:t>
            </w:r>
          </w:p>
        </w:tc>
        <w:tc>
          <w:tcPr>
            <w:tcW w:w="0" w:type="dxa"/>
            <w:vAlign w:val="bottom"/>
          </w:tcPr>
          <w:p>
            <w:pPr>
              <w:spacing w:after="0"/>
              <w:rPr>
                <w:sz w:val="1"/>
                <w:szCs w:val="1"/>
                <w:color w:val="auto"/>
              </w:rPr>
            </w:pPr>
          </w:p>
        </w:tc>
      </w:tr>
      <w:tr>
        <w:trPr>
          <w:trHeight w:val="191"/>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to real estate</w:t>
            </w: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(185,549)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25,912</w:t>
            </w:r>
          </w:p>
        </w:tc>
        <w:tc>
          <w:tcPr>
            <w:tcW w:w="0" w:type="dxa"/>
            <w:vAlign w:val="bottom"/>
          </w:tcPr>
          <w:p>
            <w:pPr>
              <w:spacing w:after="0"/>
              <w:rPr>
                <w:sz w:val="1"/>
                <w:szCs w:val="1"/>
                <w:color w:val="auto"/>
              </w:rPr>
            </w:pPr>
          </w:p>
        </w:tc>
      </w:tr>
      <w:tr>
        <w:trPr>
          <w:trHeight w:val="20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Acquisitions of real estate and other</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(170,319)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74,932</w:t>
            </w:r>
          </w:p>
        </w:tc>
        <w:tc>
          <w:tcPr>
            <w:tcW w:w="0" w:type="dxa"/>
            <w:vAlign w:val="bottom"/>
          </w:tcPr>
          <w:p>
            <w:pPr>
              <w:spacing w:after="0"/>
              <w:rPr>
                <w:sz w:val="1"/>
                <w:szCs w:val="1"/>
                <w:color w:val="auto"/>
              </w:rPr>
            </w:pPr>
          </w:p>
        </w:tc>
      </w:tr>
      <w:tr>
        <w:trPr>
          <w:trHeight w:val="191"/>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Development costs and construction in progress</w:t>
            </w: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(88,361)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29,043</w:t>
            </w:r>
          </w:p>
        </w:tc>
        <w:tc>
          <w:tcPr>
            <w:tcW w:w="0" w:type="dxa"/>
            <w:vAlign w:val="bottom"/>
          </w:tcPr>
          <w:p>
            <w:pPr>
              <w:spacing w:after="0"/>
              <w:rPr>
                <w:sz w:val="1"/>
                <w:szCs w:val="1"/>
                <w:color w:val="auto"/>
              </w:rPr>
            </w:pPr>
          </w:p>
        </w:tc>
      </w:tr>
      <w:tr>
        <w:trPr>
          <w:trHeight w:val="20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repayment of loan receivable</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85,000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85,000</w:t>
            </w:r>
          </w:p>
        </w:tc>
        <w:tc>
          <w:tcPr>
            <w:tcW w:w="0" w:type="dxa"/>
            <w:vAlign w:val="bottom"/>
          </w:tcPr>
          <w:p>
            <w:pPr>
              <w:spacing w:after="0"/>
              <w:rPr>
                <w:sz w:val="1"/>
                <w:szCs w:val="1"/>
                <w:color w:val="auto"/>
              </w:rPr>
            </w:pPr>
          </w:p>
        </w:tc>
      </w:tr>
      <w:tr>
        <w:trPr>
          <w:trHeight w:val="191"/>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sales of real estate and other</w:t>
            </w:r>
          </w:p>
        </w:tc>
        <w:tc>
          <w:tcPr>
            <w:tcW w:w="240" w:type="dxa"/>
            <w:vAlign w:val="bottom"/>
          </w:tcPr>
          <w:p>
            <w:pPr>
              <w:spacing w:after="0"/>
              <w:rPr>
                <w:sz w:val="16"/>
                <w:szCs w:val="16"/>
                <w:color w:val="auto"/>
              </w:rPr>
            </w:pPr>
          </w:p>
        </w:tc>
        <w:tc>
          <w:tcPr>
            <w:tcW w:w="13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49,750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24,075</w:t>
            </w:r>
          </w:p>
        </w:tc>
        <w:tc>
          <w:tcPr>
            <w:tcW w:w="0" w:type="dxa"/>
            <w:vAlign w:val="bottom"/>
          </w:tcPr>
          <w:p>
            <w:pPr>
              <w:spacing w:after="0"/>
              <w:rPr>
                <w:sz w:val="1"/>
                <w:szCs w:val="1"/>
                <w:color w:val="auto"/>
              </w:rPr>
            </w:pPr>
          </w:p>
        </w:tc>
      </w:tr>
      <w:tr>
        <w:trPr>
          <w:trHeight w:val="20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of capital from partially owned entities</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6,063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47,288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(41,225)</w:t>
            </w:r>
          </w:p>
        </w:tc>
        <w:tc>
          <w:tcPr>
            <w:tcW w:w="0" w:type="dxa"/>
            <w:vAlign w:val="bottom"/>
          </w:tcPr>
          <w:p>
            <w:pPr>
              <w:spacing w:after="0"/>
              <w:rPr>
                <w:sz w:val="1"/>
                <w:szCs w:val="1"/>
                <w:color w:val="auto"/>
              </w:rPr>
            </w:pPr>
          </w:p>
        </w:tc>
      </w:tr>
      <w:tr>
        <w:trPr>
          <w:trHeight w:val="191"/>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partial redemption of Fifth Avenue and Times Square JV preferred equity</w:t>
            </w:r>
          </w:p>
        </w:tc>
        <w:tc>
          <w:tcPr>
            <w:tcW w:w="24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(749,000)</w:t>
            </w:r>
          </w:p>
        </w:tc>
        <w:tc>
          <w:tcPr>
            <w:tcW w:w="0" w:type="dxa"/>
            <w:vAlign w:val="bottom"/>
          </w:tcPr>
          <w:p>
            <w:pPr>
              <w:spacing w:after="0"/>
              <w:rPr>
                <w:sz w:val="1"/>
                <w:szCs w:val="1"/>
                <w:color w:val="auto"/>
              </w:rPr>
            </w:pPr>
          </w:p>
        </w:tc>
      </w:tr>
      <w:tr>
        <w:trPr>
          <w:trHeight w:val="20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loan receivable</w:t>
            </w:r>
          </w:p>
        </w:tc>
        <w:tc>
          <w:tcPr>
            <w:tcW w:w="2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0" w:type="dxa"/>
            <w:vAlign w:val="bottom"/>
          </w:tcPr>
          <w:p>
            <w:pPr>
              <w:spacing w:after="0"/>
              <w:rPr>
                <w:sz w:val="1"/>
                <w:szCs w:val="1"/>
                <w:color w:val="auto"/>
              </w:rPr>
            </w:pPr>
          </w:p>
        </w:tc>
      </w:tr>
      <w:tr>
        <w:trPr>
          <w:trHeight w:val="192"/>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 of condominium units and ancillary amenities at 220 Central Park South</w:t>
            </w:r>
          </w:p>
        </w:tc>
        <w:tc>
          <w:tcPr>
            <w:tcW w:w="24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(24,839)</w:t>
            </w:r>
          </w:p>
        </w:tc>
        <w:tc>
          <w:tcPr>
            <w:tcW w:w="0" w:type="dxa"/>
            <w:vAlign w:val="bottom"/>
          </w:tcPr>
          <w:p>
            <w:pPr>
              <w:spacing w:after="0"/>
              <w:rPr>
                <w:sz w:val="1"/>
                <w:szCs w:val="1"/>
                <w:color w:val="auto"/>
              </w:rPr>
            </w:pPr>
          </w:p>
        </w:tc>
      </w:tr>
      <w:tr>
        <w:trPr>
          <w:trHeight w:val="224"/>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(600,539)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(809,063)</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 continued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Summary of Cash Flows - continued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6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Net cash provided by (used in) financing activities is impacted by the timing and extent of issuances of debt and equity securities, distributions paid to common shareholders and unitholders of the Operating Partnership as well as principal and other repayments associated with our outstanding debt.</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details the net cash provided by (used in) financing activities: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60" w:type="dxa"/>
            <w:vAlign w:val="bottom"/>
          </w:tcPr>
          <w:p>
            <w:pPr>
              <w:spacing w:after="0"/>
              <w:rPr>
                <w:sz w:val="17"/>
                <w:szCs w:val="17"/>
                <w:color w:val="auto"/>
              </w:rPr>
            </w:pPr>
          </w:p>
        </w:tc>
        <w:tc>
          <w:tcPr>
            <w:tcW w:w="32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40" w:type="dxa"/>
            <w:vAlign w:val="bottom"/>
          </w:tcPr>
          <w:p>
            <w:pPr>
              <w:spacing w:after="0"/>
              <w:rPr>
                <w:sz w:val="17"/>
                <w:szCs w:val="17"/>
                <w:color w:val="auto"/>
              </w:rPr>
            </w:pPr>
          </w:p>
        </w:tc>
        <w:tc>
          <w:tcPr>
            <w:tcW w:w="15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Increase (Decrease) in</w:t>
            </w: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0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0" w:type="dxa"/>
            <w:vAlign w:val="bottom"/>
          </w:tcPr>
          <w:p>
            <w:pPr>
              <w:spacing w:after="0"/>
              <w:rPr>
                <w:sz w:val="1"/>
                <w:szCs w:val="1"/>
                <w:color w:val="auto"/>
              </w:rPr>
            </w:pPr>
          </w:p>
        </w:tc>
      </w:tr>
      <w:tr>
        <w:trPr>
          <w:trHeight w:val="198"/>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borrowings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1,714,781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835,420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879,361</w:t>
            </w:r>
          </w:p>
        </w:tc>
        <w:tc>
          <w:tcPr>
            <w:tcW w:w="0" w:type="dxa"/>
            <w:vAlign w:val="bottom"/>
          </w:tcPr>
          <w:p>
            <w:pPr>
              <w:spacing w:after="0"/>
              <w:rPr>
                <w:sz w:val="1"/>
                <w:szCs w:val="1"/>
                <w:color w:val="auto"/>
              </w:rPr>
            </w:pPr>
          </w:p>
        </w:tc>
      </w:tr>
      <w:tr>
        <w:trPr>
          <w:trHeight w:val="191"/>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Repayments of borrowings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(1,415,569)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(1,900,683)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485,114</w:t>
            </w: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shares/Class A units owned by Vornado</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(133,396)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(133,396)</w:t>
            </w:r>
          </w:p>
        </w:tc>
        <w:tc>
          <w:tcPr>
            <w:tcW w:w="0" w:type="dxa"/>
            <w:vAlign w:val="bottom"/>
          </w:tcPr>
          <w:p>
            <w:pPr>
              <w:spacing w:after="0"/>
              <w:rPr>
                <w:sz w:val="1"/>
                <w:szCs w:val="1"/>
                <w:color w:val="auto"/>
              </w:rPr>
            </w:pPr>
          </w:p>
        </w:tc>
      </w:tr>
      <w:tr>
        <w:trPr>
          <w:trHeight w:val="191"/>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paid on preferred shares/Distributions to preferred unitholders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(46,575)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financing costs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(34,250)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(27,441)</w:t>
            </w:r>
          </w:p>
        </w:tc>
        <w:tc>
          <w:tcPr>
            <w:tcW w:w="0" w:type="dxa"/>
            <w:vAlign w:val="bottom"/>
          </w:tcPr>
          <w:p>
            <w:pPr>
              <w:spacing w:after="0"/>
              <w:rPr>
                <w:sz w:val="1"/>
                <w:szCs w:val="1"/>
                <w:color w:val="auto"/>
              </w:rPr>
            </w:pPr>
          </w:p>
        </w:tc>
      </w:tr>
      <w:tr>
        <w:trPr>
          <w:trHeight w:val="191"/>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redeemable security holders and noncontrolling interests in consolidated subsidiaries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Contributions from noncontrolling interests in consolidated subsidiaries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0" w:type="dxa"/>
            <w:vAlign w:val="bottom"/>
          </w:tcPr>
          <w:p>
            <w:pPr>
              <w:spacing w:after="0"/>
              <w:rPr>
                <w:sz w:val="1"/>
                <w:szCs w:val="1"/>
                <w:color w:val="auto"/>
              </w:rPr>
            </w:pPr>
          </w:p>
        </w:tc>
      </w:tr>
      <w:tr>
        <w:trPr>
          <w:trHeight w:val="192"/>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financing activity, net</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24"/>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83,831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(1,118,160)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1,201,991</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Development and Redevelopment Expenditures</w:t>
      </w:r>
    </w:p>
    <w:p>
      <w:pPr>
        <w:spacing w:after="0" w:line="5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Development and redevelopment expenditures consist of all hard and soft costs associated with the development and redevelopment of a property. We plan to fund these development and redevelopment expenditures from operating cash flow, existing liquidity, and/or borrowings. See the detailed discussion below for our current development and redevelopment projects.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623 Fifth Avenue</w:t>
      </w:r>
    </w:p>
    <w:p>
      <w:pPr>
        <w:spacing w:after="0" w:line="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redeveloping 623 Fifth Avenue, a 36-story, 383,000 square foot building situated above the flagship Saks Fifth Avenue department store, into a premier boutique office building. We purchased the property in September 2025 for $218,000,000. The development cost of this project, including the cost of acquiring the property, is estimated to be $450,000,000, of which $254,269,000 of cash has been expended as of September 30, 2026. We expect to complete the redevelopment for delivery to tenants in 2027.</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350 Park Avenue</w:t>
      </w:r>
    </w:p>
    <w:p>
      <w:pPr>
        <w:spacing w:after="0" w:line="6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October 20, 2026, the existing joint venture between Vornado and Rudin (the “Vornado/Rudin JV”) and an affiliate of KG, the founder and CEO of Citadel, formed a new joint venture (the “350 Park JV”) to develop an approximately 1,900,000 square foot office tower on the combined sites of 350 Park Avenue, 39 East 51st Street and 40 East 52nd Street, with Citadel Enterprise Americas LLC (“CEAMER”) as the anchor tenant. We consolidate the Vornado/Rudin JV. We contributed our wholly owned 350 Park Avenue property to the 350 Park JV, the Vornado/Rudin JV contributed 39 East 51st Street and Rudin contributed 40 East 52nd Street. In exchange for these contributions, the Vornado/Rudin JV received a 40% ownership interest in the 350 Park JV, and KG owns the remaining 60% interest. Through the Vornado/Rudin JV, we hold a 36.1% effective interest and Rudin holds a 3.9% effective interest. Rudin also holds $150,000,000 of preferred equity in the Vornado/Rudin JV.</w:t>
      </w:r>
    </w:p>
    <w:p>
      <w:pPr>
        <w:spacing w:after="0" w:line="2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development cost of the project is estimated to be $6.25 billion, to be funded with $3.30 billion of construction financing and $2.95 billion of equity. Our share of equity will be funded through (i) our $500,000,000 net contribution of 350 Park Avenue and (ii) approximately $290,000,000 of cash contributions, net of the development fees and reimbursements we project to earn. KG will fund 100% of cash contributions until such time that its capital account is trued-up to reflect its 60% ownership interest relative to the Vornado/Rudin JV’s capital account. Thereafter, equity will be funded pro rata in accordance with each partner’s respective ownership interest. We expect to begin funding our share of the cash contributions in mid-2028 and to continue through completion of the development.</w:t>
      </w:r>
    </w:p>
    <w:p>
      <w:pPr>
        <w:spacing w:after="0" w:line="10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also evaluating other development and redevelopment opportunities at certain of our properties in Manhattan including, in particular, the PENN District.</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can be no assurance that the above projects will be completed, completed on schedule or within budget.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Insurance</w:t>
      </w:r>
    </w:p>
    <w:p>
      <w:pPr>
        <w:spacing w:after="0" w:line="5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 our properties, we maintain general liability insurance with limits of $300,000,000 per occurrence and per property, of which $275,000,000 includes communicable disease coverage and we maintain all risk property and rental value insurance with limits of $2.5 billion per occurrence, with sub-limits for certain perils such as flood and earthquake, excluding communicable disease coverage. Our California properties have earthquake insurance with coverage of $350,000,000 per occurrence and in the aggregate, subject to a deductible in the amount of 5% of the value of the affected property. We maintain coverage for certified terrorism acts with limits of</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Insurance - continued</w:t>
      </w:r>
    </w:p>
    <w:p>
      <w:pPr>
        <w:spacing w:after="0" w:line="5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$6.0 billion per occurrence and in the aggregate (as listed below), $1.2 billion for non-certified acts of terrorism, and $5.0 billion per occurrence and in the aggregate for terrorism involving nuclear, biological, chemical and radiological (“NBCR”) terrorism events, as defined by the Terrorism Risk Insurance Act of 2002, as amended to date and which has been extended through December 2027.</w:t>
      </w:r>
    </w:p>
    <w:p>
      <w:pPr>
        <w:spacing w:after="0" w:line="1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Penn Plaza Insurance Company, LLC (“PPIC”), our wholly owned consolidated subsidiary, acts as a re-insurer with respect to a portion of all risk property and rental value insurance and a portion of our earthquake insurance coverage, and as a direct insurer for coverage for acts of terrorism including NBCR acts. Coverage for acts of terrorism (excluding NBCR acts) is fully reinsured by third-party insurance companies and the Federal government with no exposure to PPIC. For NBCR acts, PPIC is responsible for a deductible of $2,360,428 and 20% of the balance of a covered loss and the Federal government is responsible for the remaining portion of a covered loss. We are ultimately responsible for any loss incurred by PPIC.</w:t>
      </w:r>
    </w:p>
    <w:p>
      <w:pPr>
        <w:spacing w:after="0" w:line="2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Certain condominiums in which we own an interest (including the Farley Condominiums) maintain insurance policies with different per occurrence and aggregate limits than our policies described above.</w:t>
      </w:r>
    </w:p>
    <w:p>
      <w:pPr>
        <w:spacing w:after="0" w:line="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continue to monitor the state of the insurance market and the scope and costs of coverage for acts of terrorism and other events. However, we cannot anticipate what coverage will be available on commercially reasonable terms in the future. We are responsible for uninsured losses and for deductibles and losses in excess of our insurance coverage, which could be material</w:t>
      </w:r>
      <w:r>
        <w:rPr>
          <w:rFonts w:ascii="Times New Roman" w:cs="Times New Roman" w:eastAsia="Times New Roman" w:hAnsi="Times New Roman"/>
          <w:sz w:val="18"/>
          <w:szCs w:val="18"/>
          <w:i w:val="1"/>
          <w:iCs w:val="1"/>
          <w:color w:val="auto"/>
        </w:rPr>
        <w:t>.</w:t>
      </w:r>
    </w:p>
    <w:p>
      <w:pPr>
        <w:spacing w:after="0" w:line="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debt instruments, consisting of mortgage loans secured by our properties, senior unsecured notes and revolving credit agreements, contain customary covenants requiring us to maintain insurance. Although we believe that we have adequate insurance coverage for purposes of these agreements, we may not be able to obtain an equivalent amount of coverage at reasonable costs in the future. Further, if lenders insist on greater coverage than we are able to obtain, it could adversely affect our ability to finance or refinance our properties and expand our portfolio.</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Commitments and Contingencies</w:t>
      </w:r>
    </w:p>
    <w:p>
      <w:pPr>
        <w:spacing w:after="0" w:line="5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from time to time involved in legal actions arising in the ordinary course of business. In our opinion, after consultation with legal counsel, the outcome of such matters is not currently expected to have a material adverse effect on our financial position, results of operations or cash flows.</w:t>
      </w:r>
    </w:p>
    <w:p>
      <w:pPr>
        <w:spacing w:after="0" w:line="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Each of our properties has been subjected to varying degrees of environmental assessment at various times. The environmental assessments did not reveal any material environmental contamination. However, there can be no assurance that the identification of new areas of contamination, changes in the extent or known scope of contamination, the discovery of additional sites, or changes in cleanup requirements would not result in significant costs to us.</w:t>
      </w:r>
    </w:p>
    <w:p>
      <w:pPr>
        <w:spacing w:after="0" w:line="1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PENN 1 ground lease is subject to fair market value resets at each of the three 25-year renewal periods. The first renewal period commenced June 2023 and, together with our second option exercise in January 2022, extends the lease term through June 2073. On April 22, 2025, an arbitration panel (the “Panel”) appointed to determine the ground rent payable for the 25-year period beginning June 17, 2023 determined that the annual rent payable will be $15,000,000 or $20,220,000, depending on the outcome of litigation described in the following paragraph. On July 21, 2025, the ground lessor filed a motion in New York County Supreme Court to vacate the Panel’s ground rent determination. On October 31, 2025, the court granted the ground lessor’s motion. We believe the decision is without merit and are appealing the court’s decision.</w:t>
      </w:r>
    </w:p>
    <w:p>
      <w:pPr>
        <w:spacing w:after="0" w:line="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Further, litigation is currently pending between the parties in New York County Supreme Court regarding the existence of a sublease potentially affecting the value of the land parcel. The court denied our motion to dismiss that action and, in January 2026, the appellate court affirmed that decision. That sublease litigation is now continuing in front of the lower court. Under the Panel’s decision (assuming the aforementioned vacatur decision that we are appealing is reversed), if the fee owner prevails in a final judgment in that litigation, the annual rent for the 25-year term will be $20,220,000, retroactive to June 17, 2023. We are paying based on the $15,000,000 annual rent.</w:t>
      </w:r>
    </w:p>
    <w:p>
      <w:pPr>
        <w:spacing w:after="0" w:line="2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may, from time to time, enter into guarantees including, but not limited to, payment guarantees to lenders of unconsolidated joint ventures for tax purposes, completion guarantees for development and redevelopment projects, and guarantees to fund leasing costs. These agreements terminate either upon the satisfaction of specified obligations or repayment of the underlying loans. As of September 30, 2026, the aggregate dollar amount of these guarantees is approximately $193,358,000, including partial payment guarantees on 435 Seventh Avenue and 150 West 34th Street. Other than these loans, our mortgage loans are non-recourse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Commitments and Contingencies - continued</w:t>
      </w:r>
    </w:p>
    <w:p>
      <w:pPr>
        <w:spacing w:after="0" w:line="5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of September 30, 2026, $23,720,000 of letters of credit were outstanding under our unsecured revolving credit facilities. Our unsecured revolving credit facilities contain financial covenants that require us to maintain minimum interest coverage and maximum debt to market capitalization ratios and provide for higher interest rates in the event of a decline in the credit rating assigned to our senior unsecured notes. Our unsecured revolving credit facilities also contain customary conditions precedent to borrowing, including representations and warranties, and also contain customary events of default that could give rise to accelerated repayment, including such items as failure to pay interest or principal.</w:t>
      </w:r>
    </w:p>
    <w:p>
      <w:pPr>
        <w:spacing w:after="0" w:line="2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95% consolidated joint venture (5% is owned by Related Companies ("Related")) developed and owns the Farley Building. In connection with the development of the property, the joint venture admitted a historic tax credit investor partner (the "Tax Credit Investor"). Under the terms of the historic tax credit arrangement, the joint venture is required to comply with various laws, regulations, and contractual provisions. Non-compliance with applicable requirements could result in projected tax benefits not being realized and, therefore, may require a refund or reduction of the Tax Credit Investor’s capital contributions. As of September 30, 2026, the Tax Credit Investor has made $209,661,000 in capital contributions. Vornado and Related have guaranteed certain of the joint venture’s obligations to the Tax Credit Investor.</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September 30, 2026, we had construction commitments aggregating approximately $11,931,000.</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Funds From Operations (“FFO”)</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Vornado Realty Trust</w:t>
      </w:r>
    </w:p>
    <w:p>
      <w:pPr>
        <w:spacing w:after="0" w:line="6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FFO is computed in accordance with the definition adopted by the Board of Governors of the National Association of Real Estate Investment Trusts (“NAREIT”). NAREIT defines FFO as GAAP net income or loss adjusted to exclude net gains from sales of certain real estate assets, impairment write-downs of certain real estate assets and investments in entities when the impairment is directly attributable to decreases in the value of depreciable real estate held by the entity, depreciation and amortization expense from real estate assets and other specified items, including the pro rata share of such adjustments of unconsolidated subsidiaries. FFO and FFO per diluted share are non-GAAP financial measures used by management, investors and analysts to facilitate meaningful comparisons of operating performance between periods and among our peers because they exclude the effect of real estate depreciation and amortization and net gains on sales, which are based on historical costs and implicitly assume that the value of real estate diminishes predictably over time, rather than fluctuating based on existing market conditions. FFO does not represent cash generated from operating activities and is not necessarily indicative of cash available to fund cash requirements and should not be considered as an alternative to net income as a performance measure or cash flow as a liquidity measure. FFO may not be comparable to similarly titled measures employed by other companies. The calculations of both the numerator and denominator used in the computation of (loss) income per share are disclosed in Note 13 – </w:t>
      </w:r>
      <w:r>
        <w:rPr>
          <w:rFonts w:ascii="Times New Roman" w:cs="Times New Roman" w:eastAsia="Times New Roman" w:hAnsi="Times New Roman"/>
          <w:sz w:val="18"/>
          <w:szCs w:val="18"/>
          <w:i w:val="1"/>
          <w:iCs w:val="1"/>
          <w:color w:val="auto"/>
        </w:rPr>
        <w:t>(Loss) Income Per Share and Per Class A Unit</w:t>
      </w:r>
      <w:r>
        <w:rPr>
          <w:rFonts w:ascii="Times New Roman" w:cs="Times New Roman" w:eastAsia="Times New Roman" w:hAnsi="Times New Roman"/>
          <w:sz w:val="18"/>
          <w:szCs w:val="18"/>
          <w:color w:val="auto"/>
        </w:rPr>
        <w:t xml:space="preserve"> in Part I, Item 1 of this Quarterly Report on Form 10-Q. Details of certain adjustments to FFO are discussed in the financial results summary of our “Overview”.</w:t>
      </w:r>
    </w:p>
    <w:p>
      <w:pPr>
        <w:spacing w:after="0" w:line="3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Below is a reconciliation of net (loss) income attributable to common shareholders to FFO attributable to common shareholders plus assumed conversions for the three and nine months ended September 30, 2026 and 2025.</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share amounts)</w:t>
            </w:r>
          </w:p>
        </w:tc>
        <w:tc>
          <w:tcPr>
            <w:tcW w:w="26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260" w:type="dxa"/>
            <w:vAlign w:val="bottom"/>
          </w:tcPr>
          <w:p>
            <w:pPr>
              <w:spacing w:after="0"/>
              <w:rPr>
                <w:sz w:val="13"/>
                <w:szCs w:val="13"/>
                <w:color w:val="auto"/>
              </w:rPr>
            </w:pPr>
          </w:p>
        </w:tc>
        <w:tc>
          <w:tcPr>
            <w:tcW w:w="2260" w:type="dxa"/>
            <w:vAlign w:val="bottom"/>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91"/>
        </w:trPr>
        <w:tc>
          <w:tcPr>
            <w:tcW w:w="606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30,</w:t>
            </w:r>
          </w:p>
        </w:tc>
        <w:tc>
          <w:tcPr>
            <w:tcW w:w="9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21"/>
        </w:trPr>
        <w:tc>
          <w:tcPr>
            <w:tcW w:w="6060" w:type="dxa"/>
            <w:vAlign w:val="bottom"/>
          </w:tcPr>
          <w:p>
            <w:pPr>
              <w:ind w:left="20"/>
              <w:spacing w:after="0" w:line="121" w:lineRule="exact"/>
              <w:rPr>
                <w:sz w:val="20"/>
                <w:szCs w:val="20"/>
                <w:color w:val="auto"/>
              </w:rPr>
            </w:pPr>
            <w:r>
              <w:rPr>
                <w:rFonts w:ascii="Times New Roman" w:cs="Times New Roman" w:eastAsia="Times New Roman" w:hAnsi="Times New Roman"/>
                <w:sz w:val="14"/>
                <w:szCs w:val="14"/>
                <w:b w:val="1"/>
                <w:bCs w:val="1"/>
                <w:color w:val="auto"/>
              </w:rPr>
              <w:t>Reconciliation of net (loss) income attributable to common shareholders to FFO attributable to</w:t>
            </w: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shareholders plus assumed conversions: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common shareholders</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(47,138)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11,589</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(53,546)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842,250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Per diluted share</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4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FFO adjustments:</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of real property</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155,709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103,617</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418,871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311,016</w:t>
            </w:r>
          </w:p>
        </w:tc>
        <w:tc>
          <w:tcPr>
            <w:tcW w:w="0" w:type="dxa"/>
            <w:vAlign w:val="bottom"/>
          </w:tcPr>
          <w:p>
            <w:pPr>
              <w:spacing w:after="0"/>
              <w:rPr>
                <w:sz w:val="1"/>
                <w:szCs w:val="1"/>
                <w:color w:val="auto"/>
              </w:rPr>
            </w:pPr>
          </w:p>
        </w:tc>
      </w:tr>
      <w:tr>
        <w:trPr>
          <w:trHeight w:val="191"/>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marketable securities</w:t>
            </w: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0" w:type="dxa"/>
            <w:vAlign w:val="bottom"/>
          </w:tcPr>
          <w:p>
            <w:pPr>
              <w:spacing w:after="0"/>
              <w:rPr>
                <w:sz w:val="1"/>
                <w:szCs w:val="1"/>
                <w:color w:val="auto"/>
              </w:rPr>
            </w:pPr>
          </w:p>
        </w:tc>
      </w:tr>
      <w:tr>
        <w:trPr>
          <w:trHeight w:val="20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sales-type lease</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(803,248)</w:t>
            </w:r>
          </w:p>
        </w:tc>
        <w:tc>
          <w:tcPr>
            <w:tcW w:w="0" w:type="dxa"/>
            <w:vAlign w:val="bottom"/>
          </w:tcPr>
          <w:p>
            <w:pPr>
              <w:spacing w:after="0"/>
              <w:rPr>
                <w:sz w:val="1"/>
                <w:szCs w:val="1"/>
                <w:color w:val="auto"/>
              </w:rPr>
            </w:pPr>
          </w:p>
        </w:tc>
      </w:tr>
      <w:tr>
        <w:trPr>
          <w:trHeight w:val="191"/>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impairment losses</w:t>
            </w: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0" w:type="dxa"/>
            <w:vAlign w:val="bottom"/>
          </w:tcPr>
          <w:p>
            <w:pPr>
              <w:spacing w:after="0"/>
              <w:rPr>
                <w:sz w:val="1"/>
                <w:szCs w:val="1"/>
                <w:color w:val="auto"/>
              </w:rPr>
            </w:pPr>
          </w:p>
        </w:tc>
      </w:tr>
      <w:tr>
        <w:trPr>
          <w:trHeight w:val="20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Our share of partially owned entities: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 of real property</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80,962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71,934</w:t>
            </w:r>
          </w:p>
        </w:tc>
        <w:tc>
          <w:tcPr>
            <w:tcW w:w="0" w:type="dxa"/>
            <w:vAlign w:val="bottom"/>
          </w:tcPr>
          <w:p>
            <w:pPr>
              <w:spacing w:after="0"/>
              <w:rPr>
                <w:sz w:val="1"/>
                <w:szCs w:val="1"/>
                <w:color w:val="auto"/>
              </w:rPr>
            </w:pPr>
          </w:p>
        </w:tc>
      </w:tr>
      <w:tr>
        <w:trPr>
          <w:trHeight w:val="206"/>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gains on sale of real estate</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(11,002)</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(48,430)</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(90,537)</w:t>
            </w:r>
          </w:p>
        </w:tc>
        <w:tc>
          <w:tcPr>
            <w:tcW w:w="0" w:type="dxa"/>
            <w:vAlign w:val="bottom"/>
          </w:tcPr>
          <w:p>
            <w:pPr>
              <w:spacing w:after="0"/>
              <w:rPr>
                <w:sz w:val="1"/>
                <w:szCs w:val="1"/>
                <w:color w:val="auto"/>
              </w:rPr>
            </w:pPr>
          </w:p>
        </w:tc>
      </w:tr>
      <w:tr>
        <w:trPr>
          <w:trHeight w:val="185"/>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FFO adjustments, net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184,109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114,198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451,403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(512,012)</w:t>
            </w:r>
          </w:p>
        </w:tc>
        <w:tc>
          <w:tcPr>
            <w:tcW w:w="0" w:type="dxa"/>
            <w:vAlign w:val="bottom"/>
          </w:tcPr>
          <w:p>
            <w:pPr>
              <w:spacing w:after="0"/>
              <w:rPr>
                <w:sz w:val="1"/>
                <w:szCs w:val="1"/>
                <w:color w:val="auto"/>
              </w:rPr>
            </w:pPr>
          </w:p>
        </w:tc>
      </w:tr>
      <w:tr>
        <w:trPr>
          <w:trHeight w:val="20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assumed conversion of dilutive convertible securities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1,150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interests' share of above adjustments on a dilutive basis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(14,644)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(8,800)</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42,055</w:t>
            </w:r>
          </w:p>
        </w:tc>
        <w:tc>
          <w:tcPr>
            <w:tcW w:w="0" w:type="dxa"/>
            <w:vAlign w:val="bottom"/>
          </w:tcPr>
          <w:p>
            <w:pPr>
              <w:spacing w:after="0"/>
              <w:rPr>
                <w:sz w:val="1"/>
                <w:szCs w:val="1"/>
                <w:color w:val="auto"/>
              </w:rPr>
            </w:pPr>
          </w:p>
        </w:tc>
      </w:tr>
      <w:tr>
        <w:trPr>
          <w:trHeight w:val="224"/>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FFO attributable to common shareholders plus assumed conversions</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122,646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117,372</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363,086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373,482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Per diluted share</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0.62</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14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weighted average shares outstanding:</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0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186,822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192,050</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187,909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191,804</w:t>
            </w:r>
          </w:p>
        </w:tc>
        <w:tc>
          <w:tcPr>
            <w:tcW w:w="0" w:type="dxa"/>
            <w:vAlign w:val="bottom"/>
          </w:tcPr>
          <w:p>
            <w:pPr>
              <w:spacing w:after="0"/>
              <w:rPr>
                <w:sz w:val="1"/>
                <w:szCs w:val="1"/>
                <w:color w:val="auto"/>
              </w:rPr>
            </w:pPr>
          </w:p>
        </w:tc>
      </w:tr>
      <w:tr>
        <w:trPr>
          <w:trHeight w:val="191"/>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Share-based payment awards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8,100</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7,066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Convertible securities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1,475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0" w:type="dxa"/>
            <w:vAlign w:val="bottom"/>
          </w:tcPr>
          <w:p>
            <w:pPr>
              <w:spacing w:after="0"/>
              <w:rPr>
                <w:sz w:val="1"/>
                <w:szCs w:val="1"/>
                <w:color w:val="auto"/>
              </w:rPr>
            </w:pPr>
          </w:p>
        </w:tc>
      </w:tr>
      <w:tr>
        <w:trPr>
          <w:trHeight w:val="224"/>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 for FFO per diluted share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196,284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201,416</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196,450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201,098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352" w:lineRule="exact"/>
        <w:rPr>
          <w:sz w:val="20"/>
          <w:szCs w:val="20"/>
          <w:color w:val="auto"/>
        </w:rPr>
      </w:pPr>
    </w:p>
    <w:p>
      <w:pPr>
        <w:ind w:firstLine="358"/>
        <w:spacing w:after="0" w:line="274" w:lineRule="auto"/>
        <w:rPr>
          <w:sz w:val="20"/>
          <w:szCs w:val="20"/>
          <w:color w:val="auto"/>
        </w:rPr>
      </w:pPr>
      <w:r>
        <w:rPr>
          <w:rFonts w:ascii="Times New Roman" w:cs="Times New Roman" w:eastAsia="Times New Roman" w:hAnsi="Times New Roman"/>
          <w:sz w:val="18"/>
          <w:szCs w:val="18"/>
          <w:color w:val="auto"/>
        </w:rPr>
        <w:t>We have exposure to fluctuations in market interest rates. Market interest rates are sensitive to many factors that are beyond our control. Our exposure to a change in interest rates on our consolidated and non-consolidated debt (all of which arises out of non-trading activity) is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share and per unit amounts)</w:t>
            </w: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vMerge w:val="restart"/>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0"/>
                <w:szCs w:val="10"/>
                <w:color w:val="auto"/>
              </w:rPr>
            </w:pPr>
          </w:p>
        </w:tc>
        <w:tc>
          <w:tcPr>
            <w:tcW w:w="194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w w:val="99"/>
              </w:rPr>
              <w:t>Weighted Average Interest</w:t>
            </w:r>
          </w:p>
        </w:tc>
        <w:tc>
          <w:tcPr>
            <w:tcW w:w="120" w:type="dxa"/>
            <w:vAlign w:val="bottom"/>
          </w:tcPr>
          <w:p>
            <w:pPr>
              <w:spacing w:after="0"/>
              <w:rPr>
                <w:sz w:val="10"/>
                <w:szCs w:val="10"/>
                <w:color w:val="auto"/>
              </w:rPr>
            </w:pPr>
          </w:p>
        </w:tc>
        <w:tc>
          <w:tcPr>
            <w:tcW w:w="1540" w:type="dxa"/>
            <w:vAlign w:val="bottom"/>
          </w:tcPr>
          <w:p>
            <w:pPr>
              <w:jc w:val="right"/>
              <w:ind w:right="49"/>
              <w:spacing w:after="0" w:line="126" w:lineRule="exact"/>
              <w:rPr>
                <w:sz w:val="20"/>
                <w:szCs w:val="20"/>
                <w:color w:val="auto"/>
              </w:rPr>
            </w:pPr>
            <w:r>
              <w:rPr>
                <w:rFonts w:ascii="Times New Roman" w:cs="Times New Roman" w:eastAsia="Times New Roman" w:hAnsi="Times New Roman"/>
                <w:sz w:val="14"/>
                <w:szCs w:val="14"/>
                <w:b w:val="1"/>
                <w:bCs w:val="1"/>
                <w:color w:val="auto"/>
                <w:w w:val="99"/>
              </w:rPr>
              <w:t>Effect of 1% Change in</w:t>
            </w:r>
          </w:p>
        </w:tc>
        <w:tc>
          <w:tcPr>
            <w:tcW w:w="0" w:type="dxa"/>
            <w:vAlign w:val="bottom"/>
          </w:tcPr>
          <w:p>
            <w:pPr>
              <w:spacing w:after="0"/>
              <w:rPr>
                <w:sz w:val="1"/>
                <w:szCs w:val="1"/>
                <w:color w:val="auto"/>
              </w:rPr>
            </w:pPr>
          </w:p>
        </w:tc>
      </w:tr>
      <w:tr>
        <w:trPr>
          <w:trHeight w:val="192"/>
        </w:trPr>
        <w:tc>
          <w:tcPr>
            <w:tcW w:w="5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Rate</w:t>
            </w:r>
            <w:r>
              <w:rPr>
                <w:rFonts w:ascii="Times New Roman" w:cs="Times New Roman" w:eastAsia="Times New Roman" w:hAnsi="Times New Roman"/>
                <w:sz w:val="9"/>
                <w:szCs w:val="9"/>
                <w:b w:val="1"/>
                <w:bCs w:val="1"/>
                <w:color w:val="auto"/>
                <w:w w:val="98"/>
              </w:rPr>
              <w:t>(1)</w:t>
            </w:r>
          </w:p>
        </w:tc>
        <w:tc>
          <w:tcPr>
            <w:tcW w:w="120" w:type="dxa"/>
            <w:vAlign w:val="bottom"/>
          </w:tcPr>
          <w:p>
            <w:pPr>
              <w:spacing w:after="0"/>
              <w:rPr>
                <w:sz w:val="16"/>
                <w:szCs w:val="16"/>
                <w:color w:val="auto"/>
              </w:rPr>
            </w:pPr>
          </w:p>
        </w:tc>
        <w:tc>
          <w:tcPr>
            <w:tcW w:w="15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Base Rates</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161"/>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debt:</w:t>
            </w:r>
          </w:p>
        </w:tc>
        <w:tc>
          <w:tcPr>
            <w:tcW w:w="3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5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860" w:type="dxa"/>
            <w:vAlign w:val="bottom"/>
            <w:shd w:val="clear" w:color="auto" w:fill="CCEEFF"/>
          </w:tcPr>
          <w:p>
            <w:pPr>
              <w:ind w:left="340"/>
              <w:spacing w:after="0" w:line="199" w:lineRule="exact"/>
              <w:rPr>
                <w:sz w:val="20"/>
                <w:szCs w:val="20"/>
                <w:color w:val="auto"/>
              </w:rPr>
            </w:pPr>
            <w:r>
              <w:rPr>
                <w:rFonts w:ascii="Times New Roman" w:cs="Times New Roman" w:eastAsia="Times New Roman" w:hAnsi="Times New Roman"/>
                <w:sz w:val="14"/>
                <w:szCs w:val="14"/>
                <w:color w:val="auto"/>
              </w:rPr>
              <w:t>Fixed rate</w:t>
            </w:r>
            <w:r>
              <w:rPr>
                <w:rFonts w:ascii="Times New Roman" w:cs="Times New Roman" w:eastAsia="Times New Roman" w:hAnsi="Times New Roman"/>
                <w:sz w:val="18"/>
                <w:szCs w:val="18"/>
                <w:b w:val="1"/>
                <w:bCs w:val="1"/>
                <w:color w:val="auto"/>
                <w:vertAlign w:val="superscript"/>
              </w:rPr>
              <w:t>(3)</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5,515,000</w:t>
            </w:r>
          </w:p>
        </w:tc>
        <w:tc>
          <w:tcPr>
            <w:tcW w:w="1760" w:type="dxa"/>
            <w:vAlign w:val="bottom"/>
            <w:gridSpan w:val="2"/>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9"/>
              </w:rPr>
              <w:t>4.70%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5860" w:type="dxa"/>
            <w:vAlign w:val="bottom"/>
            <w:tcBorders>
              <w:bottom w:val="single" w:sz="8" w:color="CCEEFF"/>
            </w:tcBorders>
          </w:tcPr>
          <w:p>
            <w:pPr>
              <w:ind w:left="340"/>
              <w:spacing w:after="0" w:line="199" w:lineRule="exact"/>
              <w:rPr>
                <w:sz w:val="20"/>
                <w:szCs w:val="20"/>
                <w:color w:val="auto"/>
              </w:rPr>
            </w:pPr>
            <w:r>
              <w:rPr>
                <w:rFonts w:ascii="Times New Roman" w:cs="Times New Roman" w:eastAsia="Times New Roman" w:hAnsi="Times New Roman"/>
                <w:sz w:val="14"/>
                <w:szCs w:val="14"/>
                <w:color w:val="auto"/>
              </w:rPr>
              <w:t>Variable rate</w:t>
            </w:r>
            <w:r>
              <w:rPr>
                <w:rFonts w:ascii="Times New Roman" w:cs="Times New Roman" w:eastAsia="Times New Roman" w:hAnsi="Times New Roman"/>
                <w:sz w:val="18"/>
                <w:szCs w:val="18"/>
                <w:b w:val="1"/>
                <w:bCs w:val="1"/>
                <w:color w:val="auto"/>
                <w:vertAlign w:val="superscript"/>
              </w:rPr>
              <w:t>(4)</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1,972,543</w:t>
            </w:r>
          </w:p>
        </w:tc>
        <w:tc>
          <w:tcPr>
            <w:tcW w:w="1760" w:type="dxa"/>
            <w:vAlign w:val="bottom"/>
            <w:tcBorders>
              <w:bottom w:val="single" w:sz="8" w:color="CCEEFF"/>
            </w:tcBorders>
            <w:gridSpan w:val="2"/>
          </w:tcPr>
          <w:p>
            <w:pPr>
              <w:jc w:val="center"/>
              <w:ind w:left="49"/>
              <w:spacing w:after="0"/>
              <w:rPr>
                <w:sz w:val="20"/>
                <w:szCs w:val="20"/>
                <w:color w:val="auto"/>
              </w:rPr>
            </w:pPr>
            <w:r>
              <w:rPr>
                <w:rFonts w:ascii="Times New Roman" w:cs="Times New Roman" w:eastAsia="Times New Roman" w:hAnsi="Times New Roman"/>
                <w:sz w:val="14"/>
                <w:szCs w:val="14"/>
                <w:color w:val="auto"/>
                <w:w w:val="99"/>
              </w:rPr>
              <w:t>5.49%</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11,801</w:t>
            </w:r>
          </w:p>
        </w:tc>
        <w:tc>
          <w:tcPr>
            <w:tcW w:w="0" w:type="dxa"/>
            <w:vAlign w:val="bottom"/>
          </w:tcPr>
          <w:p>
            <w:pPr>
              <w:spacing w:after="0"/>
              <w:rPr>
                <w:sz w:val="1"/>
                <w:szCs w:val="1"/>
                <w:color w:val="auto"/>
              </w:rPr>
            </w:pPr>
          </w:p>
        </w:tc>
      </w:tr>
      <w:tr>
        <w:trPr>
          <w:trHeight w:val="257"/>
        </w:trPr>
        <w:tc>
          <w:tcPr>
            <w:tcW w:w="5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7,487,543</w:t>
            </w:r>
          </w:p>
        </w:tc>
        <w:tc>
          <w:tcPr>
            <w:tcW w:w="1760" w:type="dxa"/>
            <w:vAlign w:val="bottom"/>
            <w:tcBorders>
              <w:bottom w:val="single" w:sz="8" w:color="CCEEFF"/>
            </w:tcBorders>
            <w:gridSpan w:val="2"/>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9"/>
              </w:rPr>
              <w:t>4.91%</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11,801</w:t>
            </w:r>
          </w:p>
        </w:tc>
        <w:tc>
          <w:tcPr>
            <w:tcW w:w="0" w:type="dxa"/>
            <w:vAlign w:val="bottom"/>
          </w:tcPr>
          <w:p>
            <w:pPr>
              <w:spacing w:after="0"/>
              <w:rPr>
                <w:sz w:val="1"/>
                <w:szCs w:val="1"/>
                <w:color w:val="auto"/>
              </w:rPr>
            </w:pPr>
          </w:p>
        </w:tc>
      </w:tr>
      <w:tr>
        <w:trPr>
          <w:trHeight w:val="138"/>
        </w:trPr>
        <w:tc>
          <w:tcPr>
            <w:tcW w:w="5860" w:type="dxa"/>
            <w:vAlign w:val="bottom"/>
            <w:tcBorders>
              <w:top w:val="single" w:sz="8" w:color="CCEEFF"/>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Pro rata share of debt of non-consolidated entities:</w:t>
            </w:r>
          </w:p>
        </w:tc>
        <w:tc>
          <w:tcPr>
            <w:tcW w:w="3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6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Fixed rate</w:t>
            </w:r>
            <w:r>
              <w:rPr>
                <w:rFonts w:ascii="Times New Roman" w:cs="Times New Roman" w:eastAsia="Times New Roman" w:hAnsi="Times New Roman"/>
                <w:sz w:val="18"/>
                <w:szCs w:val="18"/>
                <w:b w:val="1"/>
                <w:bCs w:val="1"/>
                <w:color w:val="auto"/>
                <w:vertAlign w:val="superscript"/>
              </w:rPr>
              <w:t>(3)</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2,346,047</w:t>
            </w:r>
          </w:p>
        </w:tc>
        <w:tc>
          <w:tcPr>
            <w:tcW w:w="1760" w:type="dxa"/>
            <w:vAlign w:val="bottom"/>
            <w:gridSpan w:val="2"/>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9"/>
              </w:rPr>
              <w:t>5.41%</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5860" w:type="dxa"/>
            <w:vAlign w:val="bottom"/>
            <w:tcBorders>
              <w:bottom w:val="single" w:sz="8" w:color="CCEEFF"/>
            </w:tcBorders>
          </w:tcPr>
          <w:p>
            <w:pPr>
              <w:ind w:left="340"/>
              <w:spacing w:after="0" w:line="199" w:lineRule="exact"/>
              <w:rPr>
                <w:sz w:val="20"/>
                <w:szCs w:val="20"/>
                <w:color w:val="auto"/>
              </w:rPr>
            </w:pPr>
            <w:r>
              <w:rPr>
                <w:rFonts w:ascii="Times New Roman" w:cs="Times New Roman" w:eastAsia="Times New Roman" w:hAnsi="Times New Roman"/>
                <w:sz w:val="14"/>
                <w:szCs w:val="14"/>
                <w:color w:val="auto"/>
              </w:rPr>
              <w:t>Variable rate</w:t>
            </w:r>
            <w:r>
              <w:rPr>
                <w:rFonts w:ascii="Times New Roman" w:cs="Times New Roman" w:eastAsia="Times New Roman" w:hAnsi="Times New Roman"/>
                <w:sz w:val="18"/>
                <w:szCs w:val="18"/>
                <w:b w:val="1"/>
                <w:bCs w:val="1"/>
                <w:color w:val="auto"/>
                <w:vertAlign w:val="superscript"/>
              </w:rPr>
              <w:t>(5)</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386,502</w:t>
            </w:r>
          </w:p>
        </w:tc>
        <w:tc>
          <w:tcPr>
            <w:tcW w:w="1760" w:type="dxa"/>
            <w:vAlign w:val="bottom"/>
            <w:tcBorders>
              <w:bottom w:val="single" w:sz="8" w:color="CCEEFF"/>
            </w:tcBorders>
            <w:gridSpan w:val="2"/>
          </w:tcPr>
          <w:p>
            <w:pPr>
              <w:jc w:val="center"/>
              <w:ind w:left="49"/>
              <w:spacing w:after="0"/>
              <w:rPr>
                <w:sz w:val="20"/>
                <w:szCs w:val="20"/>
                <w:color w:val="auto"/>
              </w:rPr>
            </w:pPr>
            <w:r>
              <w:rPr>
                <w:rFonts w:ascii="Times New Roman" w:cs="Times New Roman" w:eastAsia="Times New Roman" w:hAnsi="Times New Roman"/>
                <w:sz w:val="14"/>
                <w:szCs w:val="14"/>
                <w:color w:val="auto"/>
                <w:w w:val="99"/>
              </w:rPr>
              <w:t>6.62%</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2,574</w:t>
            </w:r>
          </w:p>
        </w:tc>
        <w:tc>
          <w:tcPr>
            <w:tcW w:w="0" w:type="dxa"/>
            <w:vAlign w:val="bottom"/>
          </w:tcPr>
          <w:p>
            <w:pPr>
              <w:spacing w:after="0"/>
              <w:rPr>
                <w:sz w:val="1"/>
                <w:szCs w:val="1"/>
                <w:color w:val="auto"/>
              </w:rPr>
            </w:pPr>
          </w:p>
        </w:tc>
      </w:tr>
      <w:tr>
        <w:trPr>
          <w:trHeight w:val="257"/>
        </w:trPr>
        <w:tc>
          <w:tcPr>
            <w:tcW w:w="5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2,732,549</w:t>
            </w:r>
          </w:p>
        </w:tc>
        <w:tc>
          <w:tcPr>
            <w:tcW w:w="1760" w:type="dxa"/>
            <w:vAlign w:val="bottom"/>
            <w:tcBorders>
              <w:bottom w:val="single" w:sz="8" w:color="CCEEFF"/>
            </w:tcBorders>
            <w:gridSpan w:val="2"/>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9"/>
              </w:rPr>
              <w:t>5.58%</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w:t>
            </w:r>
          </w:p>
        </w:tc>
        <w:tc>
          <w:tcPr>
            <w:tcW w:w="0" w:type="dxa"/>
            <w:vAlign w:val="bottom"/>
          </w:tcPr>
          <w:p>
            <w:pPr>
              <w:spacing w:after="0"/>
              <w:rPr>
                <w:sz w:val="1"/>
                <w:szCs w:val="1"/>
                <w:color w:val="auto"/>
              </w:rPr>
            </w:pPr>
          </w:p>
        </w:tc>
      </w:tr>
      <w:tr>
        <w:trPr>
          <w:trHeight w:val="152"/>
        </w:trPr>
        <w:tc>
          <w:tcPr>
            <w:tcW w:w="5860" w:type="dxa"/>
            <w:vAlign w:val="bottom"/>
            <w:tcBorders>
              <w:top w:val="single" w:sz="8" w:color="CCEEFF"/>
              <w:bottom w:val="single" w:sz="8" w:color="CCEEFF"/>
            </w:tcBorders>
          </w:tcPr>
          <w:p>
            <w:pPr>
              <w:ind w:left="20"/>
              <w:spacing w:after="0" w:line="144" w:lineRule="exact"/>
              <w:rPr>
                <w:sz w:val="20"/>
                <w:szCs w:val="20"/>
                <w:color w:val="auto"/>
              </w:rPr>
            </w:pPr>
            <w:r>
              <w:rPr>
                <w:rFonts w:ascii="Times New Roman" w:cs="Times New Roman" w:eastAsia="Times New Roman" w:hAnsi="Times New Roman"/>
                <w:sz w:val="14"/>
                <w:szCs w:val="14"/>
                <w:color w:val="auto"/>
              </w:rPr>
              <w:t>Noncontrolling interests' share of consolidated subsidiaries</w:t>
            </w:r>
          </w:p>
        </w:tc>
        <w:tc>
          <w:tcPr>
            <w:tcW w:w="340" w:type="dxa"/>
            <w:vAlign w:val="bottom"/>
            <w:tcBorders>
              <w:top w:val="single" w:sz="8" w:color="auto"/>
              <w:bottom w:val="single" w:sz="8" w:color="CCEEFF"/>
            </w:tcBorders>
          </w:tcPr>
          <w:p>
            <w:pPr>
              <w:spacing w:after="0"/>
              <w:rPr>
                <w:sz w:val="13"/>
                <w:szCs w:val="13"/>
                <w:color w:val="auto"/>
              </w:rPr>
            </w:pPr>
          </w:p>
        </w:tc>
        <w:tc>
          <w:tcPr>
            <w:tcW w:w="13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CCEEFF"/>
              <w:bottom w:val="single" w:sz="8" w:color="CCEEFF"/>
            </w:tcBorders>
          </w:tcPr>
          <w:p>
            <w:pPr>
              <w:spacing w:after="0"/>
              <w:rPr>
                <w:sz w:val="13"/>
                <w:szCs w:val="13"/>
                <w:color w:val="auto"/>
              </w:rPr>
            </w:pPr>
          </w:p>
        </w:tc>
        <w:tc>
          <w:tcPr>
            <w:tcW w:w="1660" w:type="dxa"/>
            <w:vAlign w:val="bottom"/>
            <w:tcBorders>
              <w:top w:val="single" w:sz="8" w:color="CCEEFF"/>
              <w:bottom w:val="single" w:sz="8" w:color="CCEEFF"/>
            </w:tcBorders>
          </w:tcPr>
          <w:p>
            <w:pPr>
              <w:spacing w:after="0"/>
              <w:rPr>
                <w:sz w:val="13"/>
                <w:szCs w:val="13"/>
                <w:color w:val="auto"/>
              </w:rPr>
            </w:pPr>
          </w:p>
        </w:tc>
        <w:tc>
          <w:tcPr>
            <w:tcW w:w="280" w:type="dxa"/>
            <w:vAlign w:val="bottom"/>
            <w:tcBorders>
              <w:top w:val="single" w:sz="8" w:color="CCEEFF"/>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(2,895)</w:t>
            </w:r>
          </w:p>
        </w:tc>
        <w:tc>
          <w:tcPr>
            <w:tcW w:w="0" w:type="dxa"/>
            <w:vAlign w:val="bottom"/>
          </w:tcPr>
          <w:p>
            <w:pPr>
              <w:spacing w:after="0"/>
              <w:rPr>
                <w:sz w:val="1"/>
                <w:szCs w:val="1"/>
                <w:color w:val="auto"/>
              </w:rPr>
            </w:pPr>
          </w:p>
        </w:tc>
      </w:tr>
      <w:tr>
        <w:trPr>
          <w:trHeight w:val="19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annual net income attributable to the Operating Partnership</w:t>
            </w: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11,480</w:t>
            </w:r>
          </w:p>
        </w:tc>
        <w:tc>
          <w:tcPr>
            <w:tcW w:w="0" w:type="dxa"/>
            <w:vAlign w:val="bottom"/>
          </w:tcPr>
          <w:p>
            <w:pPr>
              <w:spacing w:after="0"/>
              <w:rPr>
                <w:sz w:val="1"/>
                <w:szCs w:val="1"/>
                <w:color w:val="auto"/>
              </w:rPr>
            </w:pPr>
          </w:p>
        </w:tc>
      </w:tr>
      <w:tr>
        <w:trPr>
          <w:trHeight w:val="192"/>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interests’ share of the Operating Partnership</w:t>
            </w:r>
          </w:p>
        </w:tc>
        <w:tc>
          <w:tcPr>
            <w:tcW w:w="34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0" w:type="dxa"/>
            <w:vAlign w:val="bottom"/>
          </w:tcPr>
          <w:p>
            <w:pPr>
              <w:spacing w:after="0"/>
              <w:rPr>
                <w:sz w:val="1"/>
                <w:szCs w:val="1"/>
                <w:color w:val="auto"/>
              </w:rPr>
            </w:pPr>
          </w:p>
        </w:tc>
      </w:tr>
      <w:tr>
        <w:trPr>
          <w:trHeight w:val="224"/>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annual net income attributable to Vornado</w:t>
            </w:r>
          </w:p>
        </w:tc>
        <w:tc>
          <w:tcPr>
            <w:tcW w:w="3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10,541</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change in annual net income attributable to the Operating Partnership per diluted Class A unit</w:t>
            </w: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change in annual net income attributable to Vornado per diluted share</w:t>
            </w:r>
          </w:p>
        </w:tc>
        <w:tc>
          <w:tcPr>
            <w:tcW w:w="3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w:t>
      </w:r>
    </w:p>
    <w:p>
      <w:pPr>
        <w:spacing w:after="0" w:line="12" w:lineRule="exact"/>
        <w:rPr>
          <w:sz w:val="20"/>
          <w:szCs w:val="20"/>
          <w:color w:val="auto"/>
        </w:rPr>
      </w:pPr>
    </w:p>
    <w:p>
      <w:pPr>
        <w:ind w:left="320" w:hanging="314"/>
        <w:spacing w:after="0" w:line="257" w:lineRule="auto"/>
        <w:tabs>
          <w:tab w:leader="none" w:pos="312"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the interest rate in effect as of period end based on the appropriate reference rate as of the contractual reset date plus contractual spread, adjusted for hedging instruments, as applicable.</w:t>
      </w:r>
    </w:p>
    <w:p>
      <w:pPr>
        <w:ind w:left="320" w:hanging="314"/>
        <w:spacing w:after="0"/>
        <w:tabs>
          <w:tab w:leader="none" w:pos="320"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impact of the interest rate cap arrangements discussed on the following page is reflected in our calculation of the effect of 1% change in base rates.</w:t>
      </w:r>
    </w:p>
    <w:p>
      <w:pPr>
        <w:spacing w:after="0" w:line="6"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variable rate debt with interest rates fixed by interest rate swap arrangements.</w:t>
      </w:r>
    </w:p>
    <w:p>
      <w:pPr>
        <w:spacing w:after="0" w:line="11" w:lineRule="exact"/>
        <w:rPr>
          <w:rFonts w:ascii="Times New Roman" w:cs="Times New Roman" w:eastAsia="Times New Roman" w:hAnsi="Times New Roman"/>
          <w:sz w:val="14"/>
          <w:szCs w:val="14"/>
          <w:b w:val="1"/>
          <w:bCs w:val="1"/>
          <w:color w:val="auto"/>
        </w:rPr>
      </w:pPr>
    </w:p>
    <w:p>
      <w:pPr>
        <w:ind w:left="320" w:hanging="314"/>
        <w:spacing w:after="0" w:line="256" w:lineRule="auto"/>
        <w:tabs>
          <w:tab w:leader="none" w:pos="312"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variable rate debt subject to interest rate cap arrangements with a total notional amount of $1,285,000, of which $645,000 is attributable to noncontrolling interests. The interest rate cap arrangements have a weighted average SOFR strike rate of 4.22% and a weighted average remaining term of four months.</w:t>
      </w:r>
    </w:p>
    <w:p>
      <w:pPr>
        <w:spacing w:after="0" w:line="1" w:lineRule="exact"/>
        <w:rPr>
          <w:rFonts w:ascii="Times New Roman" w:cs="Times New Roman" w:eastAsia="Times New Roman" w:hAnsi="Times New Roman"/>
          <w:sz w:val="14"/>
          <w:szCs w:val="14"/>
          <w:b w:val="1"/>
          <w:bCs w:val="1"/>
          <w:color w:val="auto"/>
        </w:rPr>
      </w:pPr>
    </w:p>
    <w:p>
      <w:pPr>
        <w:ind w:left="320" w:hanging="314"/>
        <w:spacing w:after="0" w:line="253" w:lineRule="auto"/>
        <w:tabs>
          <w:tab w:leader="none" w:pos="312"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variable rate debt subject to interest rate cap arrangements with a total notional amount of $214,027 at our pro rata share. The interest rate cap arrangements have a weighted average SOFR strike rate of 4.22% and a weighted average remaining term of eight months.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Debt</w:t>
      </w:r>
    </w:p>
    <w:p>
      <w:pPr>
        <w:spacing w:after="0" w:line="47" w:lineRule="exact"/>
        <w:rPr>
          <w:sz w:val="20"/>
          <w:szCs w:val="20"/>
          <w:color w:val="auto"/>
        </w:rPr>
      </w:pPr>
    </w:p>
    <w:p>
      <w:pPr>
        <w:jc w:val="both"/>
        <w:ind w:firstLine="358"/>
        <w:spacing w:after="0" w:line="259" w:lineRule="auto"/>
        <w:rPr>
          <w:sz w:val="20"/>
          <w:szCs w:val="20"/>
          <w:color w:val="auto"/>
        </w:rPr>
      </w:pPr>
      <w:r>
        <w:rPr>
          <w:rFonts w:ascii="Times New Roman" w:cs="Times New Roman" w:eastAsia="Times New Roman" w:hAnsi="Times New Roman"/>
          <w:sz w:val="18"/>
          <w:szCs w:val="18"/>
          <w:color w:val="auto"/>
        </w:rPr>
        <w:t>The estimated fair value of our consolidated debt is calculated based on current market prices and discounted cash flows at the current rate at which similar loans would be made to borrowers with similar credit ratings for the remaining term of such debt. As of September 30, 2026, the estimated fair value of our consolidated debt was $7,211,000,000.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 continued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Derivatives and Hedging</w:t>
      </w:r>
    </w:p>
    <w:p>
      <w:pPr>
        <w:spacing w:after="0" w:line="45" w:lineRule="exact"/>
        <w:rPr>
          <w:sz w:val="20"/>
          <w:szCs w:val="20"/>
          <w:color w:val="auto"/>
        </w:rPr>
      </w:pPr>
    </w:p>
    <w:p>
      <w:pPr>
        <w:jc w:val="both"/>
        <w:ind w:firstLine="231"/>
        <w:spacing w:after="0" w:line="259" w:lineRule="auto"/>
        <w:rPr>
          <w:sz w:val="20"/>
          <w:szCs w:val="20"/>
          <w:color w:val="auto"/>
        </w:rPr>
      </w:pPr>
      <w:r>
        <w:rPr>
          <w:rFonts w:ascii="Times New Roman" w:cs="Times New Roman" w:eastAsia="Times New Roman" w:hAnsi="Times New Roman"/>
          <w:sz w:val="18"/>
          <w:szCs w:val="18"/>
          <w:color w:val="auto"/>
        </w:rPr>
        <w:t>We utilize various financial instruments to mitigate the impact of interest rate fluctuations on our cash flows and earnings, including hedging strategies, depending on our analysis of the interest rate environment and the costs and risks of such strategies. The following table summarizes our consolidated hedging instruments, all of which hedge variable rate debt, as of September 30, 2026.</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40" w:type="dxa"/>
            <w:vAlign w:val="bottom"/>
          </w:tcPr>
          <w:p>
            <w:pPr>
              <w:spacing w:after="0"/>
              <w:rPr>
                <w:sz w:val="14"/>
                <w:szCs w:val="14"/>
                <w:color w:val="auto"/>
              </w:rPr>
            </w:pPr>
          </w:p>
        </w:tc>
        <w:tc>
          <w:tcPr>
            <w:tcW w:w="104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Debt Balance</w:t>
            </w:r>
          </w:p>
        </w:tc>
        <w:tc>
          <w:tcPr>
            <w:tcW w:w="2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Variable Rate</w:t>
            </w:r>
          </w:p>
        </w:tc>
        <w:tc>
          <w:tcPr>
            <w:tcW w:w="280" w:type="dxa"/>
            <w:vAlign w:val="bottom"/>
          </w:tcPr>
          <w:p>
            <w:pPr>
              <w:spacing w:after="0"/>
              <w:rPr>
                <w:sz w:val="14"/>
                <w:szCs w:val="14"/>
                <w:color w:val="auto"/>
              </w:rPr>
            </w:pPr>
          </w:p>
        </w:tc>
        <w:tc>
          <w:tcPr>
            <w:tcW w:w="118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All-In Swapped</w:t>
            </w:r>
          </w:p>
        </w:tc>
        <w:tc>
          <w:tcPr>
            <w:tcW w:w="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Swap/Cap</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Spread</w:t>
            </w:r>
          </w:p>
        </w:tc>
        <w:tc>
          <w:tcPr>
            <w:tcW w:w="280" w:type="dxa"/>
            <w:vAlign w:val="bottom"/>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61"/>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vMerge w:val="restart"/>
          </w:tcPr>
          <w:p>
            <w:pPr>
              <w:jc w:val="right"/>
              <w:ind w:right="114"/>
              <w:spacing w:after="0"/>
              <w:rPr>
                <w:sz w:val="20"/>
                <w:szCs w:val="20"/>
                <w:color w:val="auto"/>
              </w:rPr>
            </w:pPr>
            <w:r>
              <w:rPr>
                <w:rFonts w:ascii="Times New Roman" w:cs="Times New Roman" w:eastAsia="Times New Roman" w:hAnsi="Times New Roman"/>
                <w:sz w:val="9"/>
                <w:szCs w:val="9"/>
                <w:b w:val="1"/>
                <w:bCs w:val="1"/>
                <w:color w:val="auto"/>
                <w:w w:val="94"/>
              </w:rPr>
              <w:t>(2)</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555 California Street mortgage loan</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2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S+230</w:t>
            </w: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840,000</w:t>
            </w:r>
          </w:p>
        </w:tc>
        <w:tc>
          <w:tcPr>
            <w:tcW w:w="280" w:type="dxa"/>
            <w:vAlign w:val="bottom"/>
            <w:vMerge w:val="continue"/>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5.56%</w:t>
            </w:r>
          </w:p>
        </w:tc>
        <w:tc>
          <w:tcPr>
            <w:tcW w:w="130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color w:val="auto"/>
              </w:rPr>
              <w:t>05/28</w:t>
            </w:r>
          </w:p>
        </w:tc>
        <w:tc>
          <w:tcPr>
            <w:tcW w:w="0" w:type="dxa"/>
            <w:vAlign w:val="bottom"/>
          </w:tcPr>
          <w:p>
            <w:pPr>
              <w:spacing w:after="0"/>
              <w:rPr>
                <w:sz w:val="1"/>
                <w:szCs w:val="1"/>
                <w:color w:val="auto"/>
              </w:rPr>
            </w:pPr>
          </w:p>
        </w:tc>
      </w:tr>
      <w:tr>
        <w:trPr>
          <w:trHeight w:val="215"/>
        </w:trPr>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1290 Avenue of the Americas mortgage loan</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950,000</w:t>
            </w:r>
          </w:p>
        </w:tc>
        <w:tc>
          <w:tcPr>
            <w:tcW w:w="280" w:type="dxa"/>
            <w:vAlign w:val="bottom"/>
            <w:vMerge w:val="restart"/>
          </w:tcPr>
          <w:p>
            <w:pPr>
              <w:jc w:val="right"/>
              <w:ind w:right="114"/>
              <w:spacing w:after="0"/>
              <w:rPr>
                <w:sz w:val="20"/>
                <w:szCs w:val="20"/>
                <w:color w:val="auto"/>
              </w:rPr>
            </w:pPr>
            <w:r>
              <w:rPr>
                <w:rFonts w:ascii="Times New Roman" w:cs="Times New Roman" w:eastAsia="Times New Roman" w:hAnsi="Times New Roman"/>
                <w:sz w:val="9"/>
                <w:szCs w:val="9"/>
                <w:b w:val="1"/>
                <w:bCs w:val="1"/>
                <w:color w:val="auto"/>
                <w:w w:val="94"/>
              </w:rPr>
              <w:t>(5)</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S+162</w:t>
            </w: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9"/>
                <w:szCs w:val="9"/>
                <w:b w:val="1"/>
                <w:bCs w:val="1"/>
                <w:color w:val="auto"/>
                <w:w w:val="94"/>
              </w:rPr>
              <w:t>(3)</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9"/>
                <w:szCs w:val="9"/>
                <w:b w:val="1"/>
                <w:bCs w:val="1"/>
                <w:color w:val="auto"/>
                <w:w w:val="94"/>
              </w:rPr>
              <w:t>(4)</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4.58%</w:t>
            </w:r>
          </w:p>
        </w:tc>
        <w:tc>
          <w:tcPr>
            <w:tcW w:w="130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color w:val="auto"/>
              </w:rPr>
              <w:t>09/27</w:t>
            </w:r>
          </w:p>
        </w:tc>
        <w:tc>
          <w:tcPr>
            <w:tcW w:w="0" w:type="dxa"/>
            <w:vAlign w:val="bottom"/>
          </w:tcPr>
          <w:p>
            <w:pPr>
              <w:spacing w:after="0"/>
              <w:rPr>
                <w:sz w:val="1"/>
                <w:szCs w:val="1"/>
                <w:color w:val="auto"/>
              </w:rPr>
            </w:pPr>
          </w:p>
        </w:tc>
      </w:tr>
      <w:tr>
        <w:trPr>
          <w:trHeight w:val="182"/>
        </w:trPr>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Unsecured revolving credit facility</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918,000</w:t>
            </w:r>
          </w:p>
        </w:tc>
        <w:tc>
          <w:tcPr>
            <w:tcW w:w="280" w:type="dxa"/>
            <w:vAlign w:val="bottom"/>
            <w:vMerge w:val="continue"/>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S+101</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2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3.74%</w:t>
            </w:r>
          </w:p>
        </w:tc>
        <w:tc>
          <w:tcPr>
            <w:tcW w:w="130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color w:val="auto"/>
              </w:rPr>
              <w:t>08/27</w:t>
            </w:r>
          </w:p>
        </w:tc>
        <w:tc>
          <w:tcPr>
            <w:tcW w:w="0" w:type="dxa"/>
            <w:vAlign w:val="bottom"/>
          </w:tcPr>
          <w:p>
            <w:pPr>
              <w:spacing w:after="0"/>
              <w:rPr>
                <w:sz w:val="1"/>
                <w:szCs w:val="1"/>
                <w:color w:val="auto"/>
              </w:rPr>
            </w:pPr>
          </w:p>
        </w:tc>
      </w:tr>
      <w:tr>
        <w:trPr>
          <w:trHeight w:val="215"/>
        </w:trPr>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Unsecured term loan:</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850,000</w:t>
            </w: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9"/>
                <w:szCs w:val="9"/>
                <w:b w:val="1"/>
                <w:bCs w:val="1"/>
                <w:color w:val="auto"/>
                <w:w w:val="94"/>
              </w:rPr>
              <w:t>(6)</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S+115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In-place swap through 10/26</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4.12%</w:t>
            </w:r>
          </w:p>
        </w:tc>
        <w:tc>
          <w:tcPr>
            <w:tcW w:w="130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10/26</w:t>
            </w:r>
          </w:p>
        </w:tc>
        <w:tc>
          <w:tcPr>
            <w:tcW w:w="0" w:type="dxa"/>
            <w:vAlign w:val="bottom"/>
          </w:tcPr>
          <w:p>
            <w:pPr>
              <w:spacing w:after="0"/>
              <w:rPr>
                <w:sz w:val="1"/>
                <w:szCs w:val="1"/>
                <w:color w:val="auto"/>
              </w:rPr>
            </w:pPr>
          </w:p>
        </w:tc>
      </w:tr>
      <w:tr>
        <w:trPr>
          <w:trHeight w:val="184"/>
        </w:trPr>
        <w:tc>
          <w:tcPr>
            <w:tcW w:w="4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In-place swap through 7/27</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2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3.89%</w:t>
            </w:r>
          </w:p>
        </w:tc>
        <w:tc>
          <w:tcPr>
            <w:tcW w:w="130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color w:val="auto"/>
              </w:rPr>
              <w:t>07/27</w:t>
            </w:r>
          </w:p>
        </w:tc>
        <w:tc>
          <w:tcPr>
            <w:tcW w:w="0" w:type="dxa"/>
            <w:vAlign w:val="bottom"/>
          </w:tcPr>
          <w:p>
            <w:pPr>
              <w:spacing w:after="0"/>
              <w:rPr>
                <w:sz w:val="1"/>
                <w:szCs w:val="1"/>
                <w:color w:val="auto"/>
              </w:rPr>
            </w:pPr>
          </w:p>
        </w:tc>
      </w:tr>
      <w:tr>
        <w:trPr>
          <w:trHeight w:val="189"/>
        </w:trPr>
        <w:tc>
          <w:tcPr>
            <w:tcW w:w="4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In-place swap through 8/27</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280" w:type="dxa"/>
            <w:vAlign w:val="bottom"/>
            <w:vMerge w:val="restart"/>
          </w:tcPr>
          <w:p>
            <w:pPr>
              <w:jc w:val="right"/>
              <w:ind w:right="114"/>
              <w:spacing w:after="0"/>
              <w:rPr>
                <w:sz w:val="20"/>
                <w:szCs w:val="20"/>
                <w:color w:val="auto"/>
              </w:rPr>
            </w:pPr>
            <w:r>
              <w:rPr>
                <w:rFonts w:ascii="Times New Roman" w:cs="Times New Roman" w:eastAsia="Times New Roman" w:hAnsi="Times New Roman"/>
                <w:sz w:val="9"/>
                <w:szCs w:val="9"/>
                <w:b w:val="1"/>
                <w:bCs w:val="1"/>
                <w:color w:val="auto"/>
                <w:w w:val="94"/>
              </w:rPr>
              <w:t>(7)</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3.89%</w:t>
            </w:r>
          </w:p>
        </w:tc>
        <w:tc>
          <w:tcPr>
            <w:tcW w:w="130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color w:val="auto"/>
              </w:rPr>
              <w:t>08/27</w:t>
            </w:r>
          </w:p>
        </w:tc>
        <w:tc>
          <w:tcPr>
            <w:tcW w:w="0" w:type="dxa"/>
            <w:vAlign w:val="bottom"/>
          </w:tcPr>
          <w:p>
            <w:pPr>
              <w:spacing w:after="0"/>
              <w:rPr>
                <w:sz w:val="1"/>
                <w:szCs w:val="1"/>
                <w:color w:val="auto"/>
              </w:rPr>
            </w:pPr>
          </w:p>
        </w:tc>
      </w:tr>
      <w:tr>
        <w:trPr>
          <w:trHeight w:val="199"/>
        </w:trPr>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One Park Avenue mortgage loan</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525,000</w:t>
            </w:r>
          </w:p>
        </w:tc>
        <w:tc>
          <w:tcPr>
            <w:tcW w:w="2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S+178</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280" w:type="dxa"/>
            <w:vAlign w:val="bottom"/>
            <w:vMerge w:val="continue"/>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4.52%</w:t>
            </w:r>
          </w:p>
        </w:tc>
        <w:tc>
          <w:tcPr>
            <w:tcW w:w="130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color w:val="auto"/>
              </w:rPr>
              <w:t>07/27</w:t>
            </w:r>
          </w:p>
        </w:tc>
        <w:tc>
          <w:tcPr>
            <w:tcW w:w="0" w:type="dxa"/>
            <w:vAlign w:val="bottom"/>
          </w:tcPr>
          <w:p>
            <w:pPr>
              <w:spacing w:after="0"/>
              <w:rPr>
                <w:sz w:val="1"/>
                <w:szCs w:val="1"/>
                <w:color w:val="auto"/>
              </w:rPr>
            </w:pPr>
          </w:p>
        </w:tc>
      </w:tr>
      <w:tr>
        <w:trPr>
          <w:trHeight w:val="24"/>
        </w:trPr>
        <w:tc>
          <w:tcPr>
            <w:tcW w:w="4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100 West 33rd Street mortgage loan</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480,000</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S+185</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480,000</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5.26%</w:t>
            </w:r>
          </w:p>
        </w:tc>
        <w:tc>
          <w:tcPr>
            <w:tcW w:w="130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06/27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-1135380</wp:posOffset>
            </wp:positionV>
            <wp:extent cx="7109460" cy="1263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9460" cy="1263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-882650</wp:posOffset>
            </wp:positionV>
            <wp:extent cx="7109460" cy="1263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9460" cy="1263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-377825</wp:posOffset>
            </wp:positionV>
            <wp:extent cx="7109460" cy="1263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9460" cy="12636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Index Strike Rate</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Interest rate caps:</w:t>
            </w:r>
          </w:p>
        </w:tc>
        <w:tc>
          <w:tcPr>
            <w:tcW w:w="1460" w:type="dxa"/>
            <w:vAlign w:val="bottom"/>
          </w:tcPr>
          <w:p>
            <w:pPr>
              <w:spacing w:after="0"/>
              <w:rPr>
                <w:sz w:val="2"/>
                <w:szCs w:val="2"/>
                <w:color w:val="auto"/>
              </w:rPr>
            </w:pPr>
          </w:p>
        </w:tc>
        <w:tc>
          <w:tcPr>
            <w:tcW w:w="420" w:type="dxa"/>
            <w:vAlign w:val="bottom"/>
            <w:vMerge w:val="restart"/>
          </w:tcPr>
          <w:p>
            <w:pPr>
              <w:jc w:val="right"/>
              <w:ind w:right="234"/>
              <w:spacing w:after="0"/>
              <w:rPr>
                <w:sz w:val="20"/>
                <w:szCs w:val="20"/>
                <w:color w:val="auto"/>
              </w:rPr>
            </w:pPr>
            <w:r>
              <w:rPr>
                <w:rFonts w:ascii="Times New Roman" w:cs="Times New Roman" w:eastAsia="Times New Roman" w:hAnsi="Times New Roman"/>
                <w:sz w:val="9"/>
                <w:szCs w:val="9"/>
                <w:b w:val="1"/>
                <w:bCs w:val="1"/>
                <w:color w:val="auto"/>
              </w:rPr>
              <w:t>(5)</w:t>
            </w: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4040" w:type="dxa"/>
            <w:vAlign w:val="bottom"/>
            <w:gridSpan w:val="2"/>
            <w:vMerge w:val="continue"/>
          </w:tcPr>
          <w:p>
            <w:pPr>
              <w:spacing w:after="0"/>
              <w:rPr>
                <w:sz w:val="13"/>
                <w:szCs w:val="13"/>
                <w:color w:val="auto"/>
              </w:rPr>
            </w:pPr>
          </w:p>
        </w:tc>
        <w:tc>
          <w:tcPr>
            <w:tcW w:w="14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Unsecured revolving credit facility (effective 10/26)</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918,000</w:t>
            </w:r>
          </w:p>
        </w:tc>
        <w:tc>
          <w:tcPr>
            <w:tcW w:w="420" w:type="dxa"/>
            <w:vAlign w:val="bottom"/>
            <w:vMerge w:val="continue"/>
          </w:tcPr>
          <w:p>
            <w:pPr>
              <w:spacing w:after="0"/>
              <w:rPr>
                <w:sz w:val="15"/>
                <w:szCs w:val="15"/>
                <w:color w:val="auto"/>
              </w:rPr>
            </w:pPr>
          </w:p>
        </w:tc>
        <w:tc>
          <w:tcPr>
            <w:tcW w:w="1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S+101</w:t>
            </w:r>
          </w:p>
        </w:tc>
        <w:tc>
          <w:tcPr>
            <w:tcW w:w="14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343,000</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4.75%</w:t>
            </w:r>
          </w:p>
        </w:tc>
        <w:tc>
          <w:tcPr>
            <w:tcW w:w="13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10/27</w:t>
            </w:r>
          </w:p>
        </w:tc>
        <w:tc>
          <w:tcPr>
            <w:tcW w:w="0" w:type="dxa"/>
            <w:vAlign w:val="bottom"/>
          </w:tcPr>
          <w:p>
            <w:pPr>
              <w:spacing w:after="0"/>
              <w:rPr>
                <w:sz w:val="1"/>
                <w:szCs w:val="1"/>
                <w:color w:val="auto"/>
              </w:rPr>
            </w:pPr>
          </w:p>
        </w:tc>
      </w:tr>
      <w:tr>
        <w:trPr>
          <w:trHeight w:val="215"/>
        </w:trPr>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Unsecured term loan (effective 10/26)</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850,000</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9"/>
                <w:szCs w:val="9"/>
                <w:b w:val="1"/>
                <w:bCs w:val="1"/>
                <w:color w:val="auto"/>
              </w:rPr>
              <w:t>(6)</w:t>
            </w:r>
          </w:p>
        </w:tc>
        <w:tc>
          <w:tcPr>
            <w:tcW w:w="1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S+115</w:t>
            </w:r>
          </w:p>
        </w:tc>
        <w:tc>
          <w:tcPr>
            <w:tcW w:w="14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600,000</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4.75%</w:t>
            </w:r>
          </w:p>
        </w:tc>
        <w:tc>
          <w:tcPr>
            <w:tcW w:w="13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10/27</w:t>
            </w:r>
          </w:p>
        </w:tc>
        <w:tc>
          <w:tcPr>
            <w:tcW w:w="0" w:type="dxa"/>
            <w:vAlign w:val="bottom"/>
          </w:tcPr>
          <w:p>
            <w:pPr>
              <w:spacing w:after="0"/>
              <w:rPr>
                <w:sz w:val="1"/>
                <w:szCs w:val="1"/>
                <w:color w:val="auto"/>
              </w:rPr>
            </w:pPr>
          </w:p>
        </w:tc>
      </w:tr>
      <w:tr>
        <w:trPr>
          <w:trHeight w:val="24"/>
        </w:trPr>
        <w:tc>
          <w:tcPr>
            <w:tcW w:w="3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150</w:t>
            </w: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 34th Street mortgage loan</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S+215</w:t>
            </w:r>
          </w:p>
        </w:tc>
        <w:tc>
          <w:tcPr>
            <w:tcW w:w="148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75,000</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3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02/27</w:t>
            </w:r>
          </w:p>
        </w:tc>
        <w:tc>
          <w:tcPr>
            <w:tcW w:w="0" w:type="dxa"/>
            <w:vAlign w:val="bottom"/>
          </w:tcPr>
          <w:p>
            <w:pPr>
              <w:spacing w:after="0"/>
              <w:rPr>
                <w:sz w:val="1"/>
                <w:szCs w:val="1"/>
                <w:color w:val="auto"/>
              </w:rPr>
            </w:pPr>
          </w:p>
        </w:tc>
      </w:tr>
      <w:tr>
        <w:trPr>
          <w:trHeight w:val="184"/>
        </w:trPr>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435</w:t>
            </w:r>
          </w:p>
        </w:tc>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Seventh Avenue mortgage loan</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420" w:type="dxa"/>
            <w:vAlign w:val="bottom"/>
          </w:tcPr>
          <w:p>
            <w:pPr>
              <w:spacing w:after="0"/>
              <w:rPr>
                <w:sz w:val="15"/>
                <w:szCs w:val="15"/>
                <w:color w:val="auto"/>
              </w:rPr>
            </w:pPr>
          </w:p>
        </w:tc>
        <w:tc>
          <w:tcPr>
            <w:tcW w:w="1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S+210</w:t>
            </w:r>
          </w:p>
        </w:tc>
        <w:tc>
          <w:tcPr>
            <w:tcW w:w="148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75,000</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13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04/27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-494665</wp:posOffset>
            </wp:positionV>
            <wp:extent cx="7109460" cy="1263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9460" cy="12636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w:t>
      </w:r>
    </w:p>
    <w:p>
      <w:pPr>
        <w:spacing w:after="0" w:line="12" w:lineRule="exact"/>
        <w:rPr>
          <w:sz w:val="20"/>
          <w:szCs w:val="20"/>
          <w:color w:val="auto"/>
        </w:rPr>
      </w:pPr>
    </w:p>
    <w:p>
      <w:pPr>
        <w:ind w:left="320" w:hanging="314"/>
        <w:spacing w:after="0"/>
        <w:tabs>
          <w:tab w:leader="none" w:pos="320" w:val="left"/>
        </w:tabs>
        <w:numPr>
          <w:ilvl w:val="0"/>
          <w:numId w:val="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variable rate spread will increase by 25 basis points in May 2027.</w:t>
      </w:r>
    </w:p>
    <w:p>
      <w:pPr>
        <w:spacing w:after="0" w:line="21"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our 70.0% share of the $1.2 billion mortgage loan.</w:t>
      </w:r>
    </w:p>
    <w:p>
      <w:pPr>
        <w:spacing w:after="0" w:line="11"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variable rate spread will increase by 25 basis points in November 2026.</w:t>
      </w:r>
    </w:p>
    <w:p>
      <w:pPr>
        <w:spacing w:after="0" w:line="11" w:lineRule="exact"/>
        <w:rPr>
          <w:rFonts w:ascii="Times New Roman" w:cs="Times New Roman" w:eastAsia="Times New Roman" w:hAnsi="Times New Roman"/>
          <w:sz w:val="14"/>
          <w:szCs w:val="14"/>
          <w:b w:val="1"/>
          <w:bCs w:val="1"/>
          <w:color w:val="auto"/>
        </w:rPr>
      </w:pPr>
    </w:p>
    <w:p>
      <w:pPr>
        <w:ind w:left="320" w:hanging="314"/>
        <w:spacing w:after="0"/>
        <w:tabs>
          <w:tab w:leader="none" w:pos="320" w:val="left"/>
        </w:tabs>
        <w:numPr>
          <w:ilvl w:val="0"/>
          <w:numId w:val="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remaining $750,000 mortgage loan balance has a 4.00% SOFR strike rate cap in place.</w:t>
      </w:r>
    </w:p>
    <w:p>
      <w:pPr>
        <w:spacing w:after="0" w:line="2" w:lineRule="exact"/>
        <w:rPr>
          <w:rFonts w:ascii="Times New Roman" w:cs="Times New Roman" w:eastAsia="Times New Roman" w:hAnsi="Times New Roman"/>
          <w:sz w:val="14"/>
          <w:szCs w:val="14"/>
          <w:b w:val="1"/>
          <w:bCs w:val="1"/>
          <w:color w:val="auto"/>
        </w:rPr>
      </w:pPr>
    </w:p>
    <w:p>
      <w:pPr>
        <w:ind w:left="320" w:right="180" w:hanging="314"/>
        <w:spacing w:after="0" w:line="237" w:lineRule="auto"/>
        <w:tabs>
          <w:tab w:leader="none" w:pos="312" w:val="left"/>
        </w:tabs>
        <w:numPr>
          <w:ilvl w:val="0"/>
          <w:numId w:val="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the total $918,000 balance outstanding under our unsecured revolving credit facility, which is shown under both the interest rate swaps and interest rate caps, of which $575,000 is swapped and, effective October 2026, the remaining $343,000 is capped.</w:t>
      </w:r>
    </w:p>
    <w:p>
      <w:pPr>
        <w:ind w:left="320" w:hanging="314"/>
        <w:spacing w:after="0" w:line="237" w:lineRule="auto"/>
        <w:tabs>
          <w:tab w:leader="none" w:pos="320" w:val="left"/>
        </w:tabs>
        <w:numPr>
          <w:ilvl w:val="0"/>
          <w:numId w:val="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the total $850,000 balance of our unsecured term loan, which is shown under both the interest rate swaps and interest rate caps. Through October 2026, $750,000 is swapped and</w:t>
      </w:r>
    </w:p>
    <w:p>
      <w:pPr>
        <w:ind w:left="320"/>
        <w:spacing w:after="0" w:line="23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$100,000 is floating. Effective October 2026, $600,000 is capped through October 2027 and the remaining $250,000 is swapped, declining to $50,000 in July 2027 and expiring in August 2027.</w:t>
      </w:r>
    </w:p>
    <w:p>
      <w:pPr>
        <w:ind w:left="320" w:hanging="314"/>
        <w:spacing w:after="0"/>
        <w:tabs>
          <w:tab w:leader="none" w:pos="320" w:val="left"/>
        </w:tabs>
        <w:numPr>
          <w:ilvl w:val="0"/>
          <w:numId w:val="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remaining $25,000 mortgage loan balance has a 5.20% SOFR strike rate cap in place.</w:t>
      </w:r>
    </w:p>
    <w:p>
      <w:pPr>
        <w:spacing w:after="0" w:line="21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our hedging instruments of our unconsolidated subsidiaries (shown at our pro rata ownership interest) as of September 30, 2026.</w:t>
      </w:r>
    </w:p>
    <w:p>
      <w:pPr>
        <w:sectPr>
          <w:pgSz w:w="11900" w:h="16838" w:orient="portrait"/>
          <w:cols w:equalWidth="0" w:num="1">
            <w:col w:w="11240"/>
          </w:cols>
          <w:pgMar w:left="320" w:top="358" w:right="339" w:bottom="1440" w:gutter="0" w:footer="0" w:header="0"/>
        </w:sectPr>
      </w:pP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(Amounts in thousands and at share)</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rate swap:</w:t>
      </w:r>
    </w:p>
    <w:p>
      <w:pPr>
        <w:spacing w:after="0" w:line="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280 Park Avenue (50.0% interest)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3"/>
                <w:szCs w:val="13"/>
                <w:color w:val="auto"/>
              </w:rPr>
            </w:pPr>
          </w:p>
        </w:tc>
        <w:tc>
          <w:tcPr>
            <w:tcW w:w="104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Debt Balance</w:t>
            </w:r>
          </w:p>
        </w:tc>
        <w:tc>
          <w:tcPr>
            <w:tcW w:w="140" w:type="dxa"/>
            <w:vAlign w:val="bottom"/>
            <w:vMerge w:val="restart"/>
          </w:tcPr>
          <w:p>
            <w:pPr>
              <w:spacing w:after="0"/>
              <w:rPr>
                <w:sz w:val="13"/>
                <w:szCs w:val="13"/>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Variable Rate</w:t>
            </w:r>
          </w:p>
        </w:tc>
        <w:tc>
          <w:tcPr>
            <w:tcW w:w="120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40" w:type="dxa"/>
            <w:vAlign w:val="bottom"/>
            <w:vMerge w:val="restart"/>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All-In Swapped</w:t>
            </w:r>
          </w:p>
        </w:tc>
        <w:tc>
          <w:tcPr>
            <w:tcW w:w="1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Swap/Cap</w:t>
            </w:r>
          </w:p>
        </w:tc>
        <w:tc>
          <w:tcPr>
            <w:tcW w:w="0" w:type="dxa"/>
            <w:vAlign w:val="bottom"/>
          </w:tcPr>
          <w:p>
            <w:pPr>
              <w:spacing w:after="0"/>
              <w:rPr>
                <w:sz w:val="1"/>
                <w:szCs w:val="1"/>
                <w:color w:val="auto"/>
              </w:rPr>
            </w:pPr>
          </w:p>
        </w:tc>
      </w:tr>
      <w:tr>
        <w:trPr>
          <w:trHeight w:val="191"/>
        </w:trPr>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120" w:type="dxa"/>
            <w:vAlign w:val="bottom"/>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359"/>
        </w:trPr>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537,500</w:t>
            </w:r>
          </w:p>
        </w:tc>
        <w:tc>
          <w:tcPr>
            <w:tcW w:w="140" w:type="dxa"/>
            <w:vAlign w:val="bottom"/>
          </w:tcPr>
          <w:p>
            <w:pPr>
              <w:spacing w:after="0"/>
              <w:rPr>
                <w:sz w:val="24"/>
                <w:szCs w:val="24"/>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S+178</w:t>
            </w: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537,500</w:t>
            </w:r>
          </w:p>
        </w:tc>
        <w:tc>
          <w:tcPr>
            <w:tcW w:w="1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5.84%</w:t>
            </w:r>
          </w:p>
        </w:tc>
        <w:tc>
          <w:tcPr>
            <w:tcW w:w="1320" w:type="dxa"/>
            <w:vAlign w:val="bottom"/>
            <w:gridSpan w:val="2"/>
          </w:tcPr>
          <w:p>
            <w:pPr>
              <w:jc w:val="center"/>
              <w:ind w:left="49"/>
              <w:spacing w:after="0"/>
              <w:rPr>
                <w:sz w:val="20"/>
                <w:szCs w:val="20"/>
                <w:color w:val="auto"/>
              </w:rPr>
            </w:pPr>
            <w:r>
              <w:rPr>
                <w:rFonts w:ascii="Times New Roman" w:cs="Times New Roman" w:eastAsia="Times New Roman" w:hAnsi="Times New Roman"/>
                <w:sz w:val="14"/>
                <w:szCs w:val="14"/>
                <w:color w:val="auto"/>
              </w:rPr>
              <w:t>09/28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-110490</wp:posOffset>
            </wp:positionV>
            <wp:extent cx="7134860" cy="1263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119" w:lineRule="exact"/>
        <w:rPr>
          <w:sz w:val="20"/>
          <w:szCs w:val="20"/>
          <w:color w:val="auto"/>
        </w:rPr>
      </w:pPr>
    </w:p>
    <w:p>
      <w:pPr>
        <w:sectPr>
          <w:pgSz w:w="11900" w:h="16838" w:orient="portrait"/>
          <w:cols w:equalWidth="0" w:num="2">
            <w:col w:w="3980" w:space="720"/>
            <w:col w:w="6540"/>
          </w:cols>
          <w:pgMar w:left="320" w:top="358" w:right="3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Index Strike Rate</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Interest rate caps:</w:t>
            </w:r>
          </w:p>
        </w:tc>
        <w:tc>
          <w:tcPr>
            <w:tcW w:w="2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020" w:type="dxa"/>
            <w:vAlign w:val="bottom"/>
            <w:vMerge w:val="continue"/>
          </w:tcPr>
          <w:p>
            <w:pPr>
              <w:spacing w:after="0"/>
              <w:rPr>
                <w:sz w:val="13"/>
                <w:szCs w:val="13"/>
                <w:color w:val="auto"/>
              </w:rPr>
            </w:pPr>
          </w:p>
        </w:tc>
        <w:tc>
          <w:tcPr>
            <w:tcW w:w="2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Sunset Pier 94 Studios (49.9% interest)</w:t>
            </w:r>
          </w:p>
        </w:tc>
        <w:tc>
          <w:tcPr>
            <w:tcW w:w="214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84,716</w:t>
            </w:r>
          </w:p>
        </w:tc>
        <w:tc>
          <w:tcPr>
            <w:tcW w:w="1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S+481</w:t>
            </w:r>
          </w:p>
        </w:tc>
        <w:tc>
          <w:tcPr>
            <w:tcW w:w="12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84,716</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13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09/27</w:t>
            </w:r>
          </w:p>
        </w:tc>
        <w:tc>
          <w:tcPr>
            <w:tcW w:w="0" w:type="dxa"/>
            <w:vAlign w:val="bottom"/>
          </w:tcPr>
          <w:p>
            <w:pPr>
              <w:spacing w:after="0"/>
              <w:rPr>
                <w:sz w:val="1"/>
                <w:szCs w:val="1"/>
                <w:color w:val="auto"/>
              </w:rPr>
            </w:pPr>
          </w:p>
        </w:tc>
      </w:tr>
      <w:tr>
        <w:trPr>
          <w:trHeight w:val="191"/>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61 Ninth Avenue (45.1% interest)</w:t>
            </w:r>
          </w:p>
        </w:tc>
        <w:tc>
          <w:tcPr>
            <w:tcW w:w="21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72,611</w:t>
            </w:r>
          </w:p>
        </w:tc>
        <w:tc>
          <w:tcPr>
            <w:tcW w:w="1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S+300</w:t>
            </w:r>
          </w:p>
        </w:tc>
        <w:tc>
          <w:tcPr>
            <w:tcW w:w="12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72,611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4.25%</w:t>
            </w:r>
          </w:p>
        </w:tc>
        <w:tc>
          <w:tcPr>
            <w:tcW w:w="13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06/27</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Rego Park shopping center (32.4% interest)</w:t>
            </w:r>
          </w:p>
        </w:tc>
        <w:tc>
          <w:tcPr>
            <w:tcW w:w="214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56,700</w:t>
            </w:r>
          </w:p>
        </w:tc>
        <w:tc>
          <w:tcPr>
            <w:tcW w:w="1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S+200</w:t>
            </w:r>
          </w:p>
        </w:tc>
        <w:tc>
          <w:tcPr>
            <w:tcW w:w="12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56,700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13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12/26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 (Vornado Realty Trust)</w:t>
      </w:r>
    </w:p>
    <w:p>
      <w:pPr>
        <w:spacing w:after="0" w:line="62" w:lineRule="exact"/>
        <w:rPr>
          <w:sz w:val="20"/>
          <w:szCs w:val="20"/>
          <w:color w:val="auto"/>
        </w:rPr>
      </w:pPr>
    </w:p>
    <w:p>
      <w:pPr>
        <w:jc w:val="both"/>
        <w:ind w:firstLine="358"/>
        <w:spacing w:after="0" w:line="217" w:lineRule="exact"/>
        <w:rPr>
          <w:sz w:val="20"/>
          <w:szCs w:val="20"/>
          <w:color w:val="auto"/>
        </w:rPr>
      </w:pPr>
      <w:r>
        <w:rPr>
          <w:rFonts w:ascii="Times New Roman" w:cs="Times New Roman" w:eastAsia="Times New Roman" w:hAnsi="Times New Roman"/>
          <w:sz w:val="18"/>
          <w:szCs w:val="18"/>
          <w:color w:val="auto"/>
        </w:rPr>
        <w:t>Disclosure Controls and Procedures: Our management, with the participation of Vornado’s Chief Executive Officer and Chief Financial Officer, has evaluated the effectiveness of our disclosure controls and procedures (as such term is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Securities Exchange Act of 1934, as amended) as of the end of the period covered by this report. Based on such evaluation, Vornado’s Chief Executive Officer and Chief Financial Officer have concluded that, as of September 30, 2026, such disclosure controls and procedures were effective.</w:t>
      </w:r>
    </w:p>
    <w:p>
      <w:pPr>
        <w:spacing w:after="0" w:line="35" w:lineRule="exact"/>
        <w:rPr>
          <w:sz w:val="20"/>
          <w:szCs w:val="20"/>
          <w:color w:val="auto"/>
        </w:rPr>
      </w:pPr>
    </w:p>
    <w:p>
      <w:pPr>
        <w:jc w:val="both"/>
        <w:ind w:firstLine="358"/>
        <w:spacing w:after="0" w:line="259" w:lineRule="auto"/>
        <w:rPr>
          <w:sz w:val="20"/>
          <w:szCs w:val="20"/>
          <w:color w:val="auto"/>
        </w:rPr>
      </w:pPr>
      <w:r>
        <w:rPr>
          <w:rFonts w:ascii="Times New Roman" w:cs="Times New Roman" w:eastAsia="Times New Roman" w:hAnsi="Times New Roman"/>
          <w:sz w:val="18"/>
          <w:szCs w:val="18"/>
          <w:color w:val="auto"/>
        </w:rPr>
        <w:t>Internal Control Over Financial Reporting: There have not been any changes in our internal control over financial reporting (as defined in Rule 13a-15(f) under the Securities Exchange Act of 1934, as amended) during the fiscal quarter to which this report relates that have materially affected, or are reasonably likely to materially affect, our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 (Vornado Realty L.P.)</w:t>
      </w:r>
    </w:p>
    <w:p>
      <w:pPr>
        <w:spacing w:after="0" w:line="62" w:lineRule="exact"/>
        <w:rPr>
          <w:sz w:val="20"/>
          <w:szCs w:val="20"/>
          <w:color w:val="auto"/>
        </w:rPr>
      </w:pPr>
    </w:p>
    <w:p>
      <w:pPr>
        <w:jc w:val="both"/>
        <w:ind w:firstLine="358"/>
        <w:spacing w:after="0" w:line="217" w:lineRule="exact"/>
        <w:rPr>
          <w:sz w:val="20"/>
          <w:szCs w:val="20"/>
          <w:color w:val="auto"/>
        </w:rPr>
      </w:pPr>
      <w:r>
        <w:rPr>
          <w:rFonts w:ascii="Times New Roman" w:cs="Times New Roman" w:eastAsia="Times New Roman" w:hAnsi="Times New Roman"/>
          <w:sz w:val="18"/>
          <w:szCs w:val="18"/>
          <w:color w:val="auto"/>
        </w:rPr>
        <w:t>Disclosure Controls and Procedures: Vornado Realty L.P.’s management, with the participation of Vornado’s Chief Executive Officer and Chief Financial Officer, has evaluated the effectiveness of our disclosure controls and procedures (as such term is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Securities Exchange Act of 1934, as amended) as of the end of the period covered by this report. Based on such evaluation, Vornado’s Chief Executive Officer and Chief Financial Officer have concluded that, as of September 30, 2026, such disclosure controls and procedures were effective.</w:t>
      </w:r>
    </w:p>
    <w:p>
      <w:pPr>
        <w:spacing w:after="0" w:line="35" w:lineRule="exact"/>
        <w:rPr>
          <w:sz w:val="20"/>
          <w:szCs w:val="20"/>
          <w:color w:val="auto"/>
        </w:rPr>
      </w:pPr>
    </w:p>
    <w:p>
      <w:pPr>
        <w:jc w:val="both"/>
        <w:ind w:firstLine="358"/>
        <w:spacing w:after="0" w:line="259" w:lineRule="auto"/>
        <w:rPr>
          <w:sz w:val="20"/>
          <w:szCs w:val="20"/>
          <w:color w:val="auto"/>
        </w:rPr>
      </w:pPr>
      <w:r>
        <w:rPr>
          <w:rFonts w:ascii="Times New Roman" w:cs="Times New Roman" w:eastAsia="Times New Roman" w:hAnsi="Times New Roman"/>
          <w:sz w:val="18"/>
          <w:szCs w:val="18"/>
          <w:color w:val="auto"/>
        </w:rPr>
        <w:t>Internal Control Over Financial Reporting: There have not been any changes in our internal control over financial reporting (as defined in Rule 13a-15(f) under the Securities Exchange Act of 1934, as amended) during the fiscal quarter to which this report relates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6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We are from time to time involved in legal actions arising in the ordinary course of business. In our opinion, after consultation with legal counsel, the outcome of such matters is not currently expected to have a material adverse effect on our financial position, results of operations or cash flows.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material changes to the Risk Factors disclosed in our Annual Report on Form 10-K for the year ended December 31, 2025.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Vornado Realty Trust</w:t>
      </w:r>
    </w:p>
    <w:p>
      <w:pPr>
        <w:spacing w:after="0" w:line="62" w:lineRule="exact"/>
        <w:rPr>
          <w:sz w:val="20"/>
          <w:szCs w:val="20"/>
          <w:color w:val="auto"/>
        </w:rPr>
      </w:pPr>
    </w:p>
    <w:p>
      <w:pPr>
        <w:ind w:left="640" w:hanging="634"/>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sales of unregistered securities:</w:t>
      </w:r>
    </w:p>
    <w:p>
      <w:pPr>
        <w:spacing w:after="0" w:line="58" w:lineRule="exact"/>
        <w:rPr>
          <w:sz w:val="20"/>
          <w:szCs w:val="20"/>
          <w:color w:val="auto"/>
        </w:rPr>
      </w:pPr>
    </w:p>
    <w:p>
      <w:pPr>
        <w:jc w:val="both"/>
        <w:ind w:left="640" w:firstLine="318"/>
        <w:spacing w:after="0" w:line="259" w:lineRule="auto"/>
        <w:rPr>
          <w:sz w:val="20"/>
          <w:szCs w:val="20"/>
          <w:color w:val="auto"/>
        </w:rPr>
      </w:pPr>
      <w:r>
        <w:rPr>
          <w:rFonts w:ascii="Times New Roman" w:cs="Times New Roman" w:eastAsia="Times New Roman" w:hAnsi="Times New Roman"/>
          <w:sz w:val="18"/>
          <w:szCs w:val="18"/>
          <w:color w:val="auto"/>
        </w:rPr>
        <w:t>During the quarter ended September 30, 2026, Vornado issued 237,528 of its common shares for the redemption of Class A units by certain limited partners of Vornado Realty L.P. and conversions of Series A preferred shares. Such shares were issued in reliance on an exemption from registration under Section 4(a)(2) of the Securities Act of 1933, as amended.</w:t>
      </w:r>
    </w:p>
    <w:p>
      <w:pPr>
        <w:spacing w:after="0" w:line="19" w:lineRule="exact"/>
        <w:rPr>
          <w:sz w:val="20"/>
          <w:szCs w:val="20"/>
          <w:color w:val="auto"/>
        </w:rPr>
      </w:pPr>
    </w:p>
    <w:p>
      <w:pPr>
        <w:ind w:left="640" w:hanging="634"/>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Proceeds from Sales of Registered Securities: Not applicable.</w:t>
      </w:r>
    </w:p>
    <w:p>
      <w:pPr>
        <w:spacing w:after="0" w:line="58"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 None</w:t>
      </w:r>
    </w:p>
    <w:p>
      <w:pPr>
        <w:spacing w:after="0" w:line="58" w:lineRule="exact"/>
        <w:rPr>
          <w:sz w:val="20"/>
          <w:szCs w:val="20"/>
          <w:color w:val="auto"/>
        </w:rPr>
      </w:pPr>
    </w:p>
    <w:p>
      <w:pPr>
        <w:jc w:val="both"/>
        <w:ind w:left="640" w:firstLine="318"/>
        <w:spacing w:after="0" w:line="259" w:lineRule="auto"/>
        <w:rPr>
          <w:sz w:val="20"/>
          <w:szCs w:val="20"/>
          <w:color w:val="auto"/>
        </w:rPr>
      </w:pPr>
      <w:r>
        <w:rPr>
          <w:rFonts w:ascii="Times New Roman" w:cs="Times New Roman" w:eastAsia="Times New Roman" w:hAnsi="Times New Roman"/>
          <w:sz w:val="18"/>
          <w:szCs w:val="18"/>
          <w:color w:val="auto"/>
        </w:rPr>
        <w:t>In April 2026, our Board of Trustees authorized an additional $300,000,000 repurchase of our outstanding common shares under the share repurchase plan. There were no share repurchases during the three months ended September 30, 2026. As of September 30, 2026, $286,590,000 remained available and authorized for repurchases under the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Vornado Realty L.P.</w:t>
      </w:r>
    </w:p>
    <w:p>
      <w:pPr>
        <w:spacing w:after="0" w:line="62" w:lineRule="exact"/>
        <w:rPr>
          <w:sz w:val="20"/>
          <w:szCs w:val="20"/>
          <w:color w:val="auto"/>
        </w:rPr>
      </w:pPr>
    </w:p>
    <w:p>
      <w:pPr>
        <w:ind w:left="640" w:hanging="634"/>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sales of unregistered securities:</w:t>
      </w:r>
    </w:p>
    <w:p>
      <w:pPr>
        <w:spacing w:after="0" w:line="58" w:lineRule="exact"/>
        <w:rPr>
          <w:sz w:val="20"/>
          <w:szCs w:val="20"/>
          <w:color w:val="auto"/>
        </w:rPr>
      </w:pPr>
    </w:p>
    <w:p>
      <w:pPr>
        <w:jc w:val="both"/>
        <w:ind w:left="640" w:firstLine="318"/>
        <w:spacing w:after="0" w:line="259" w:lineRule="auto"/>
        <w:rPr>
          <w:sz w:val="20"/>
          <w:szCs w:val="20"/>
          <w:color w:val="auto"/>
        </w:rPr>
      </w:pPr>
      <w:r>
        <w:rPr>
          <w:rFonts w:ascii="Times New Roman" w:cs="Times New Roman" w:eastAsia="Times New Roman" w:hAnsi="Times New Roman"/>
          <w:sz w:val="18"/>
          <w:szCs w:val="18"/>
          <w:color w:val="auto"/>
        </w:rPr>
        <w:t>During the quarter ended September 30, 2026, Vornado Realty L.P. issued (i) 155,680 Class A units to satisfy conversions of Performance AO LTIP Units and (ii) 3,044 Class A units to satisfy conversions of LTIP units. Such securities were issued in reliance on an exemption from registration under Section 4(a)(2) of the Securities Act of 1933, as amended.</w:t>
      </w:r>
    </w:p>
    <w:p>
      <w:pPr>
        <w:spacing w:after="0" w:line="19" w:lineRule="exact"/>
        <w:rPr>
          <w:sz w:val="20"/>
          <w:szCs w:val="20"/>
          <w:color w:val="auto"/>
        </w:rPr>
      </w:pPr>
    </w:p>
    <w:p>
      <w:pPr>
        <w:ind w:left="640" w:hanging="634"/>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Proceeds from Sales of Registered Securities: Not applicable.</w:t>
      </w:r>
    </w:p>
    <w:p>
      <w:pPr>
        <w:spacing w:after="0" w:line="58"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 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three months ended September 30, 2026, none of our directors or officers (as defined in Rule 16a-1(f) of the Securities Exchange Act) adopted, terminated, or modified a Rule 10b5-1 trading arrangement or non-Rule 10b5-1 trading arrangement (as such terms are defined in Item 408 of Regulation S-K).</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first quarter of 2026, the Company reclassified certain properties to our Other segment to align with changes in internal reporting used by the chief operating decision maker ("CODM") for assessing performance and allocating resources. The disclosures set forth below are provided solely to present such financial information and related disclosures on a retrospective basis for all periods presented in the Form 10-K for the year ended December 31, 2025. The impact of such recasting of periods is immaterial to the periods presented.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020" w:type="dxa"/>
            <w:vAlign w:val="bottom"/>
          </w:tcPr>
          <w:p>
            <w:pPr>
              <w:spacing w:after="0"/>
              <w:rPr>
                <w:sz w:val="16"/>
                <w:szCs w:val="16"/>
                <w:color w:val="auto"/>
              </w:rPr>
            </w:pPr>
          </w:p>
        </w:tc>
        <w:tc>
          <w:tcPr>
            <w:tcW w:w="2980" w:type="dxa"/>
            <w:vAlign w:val="bottom"/>
            <w:gridSpan w:val="6"/>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2025</w:t>
            </w:r>
          </w:p>
        </w:tc>
        <w:tc>
          <w:tcPr>
            <w:tcW w:w="1200" w:type="dxa"/>
            <w:vAlign w:val="bottom"/>
          </w:tcPr>
          <w:p>
            <w:pPr>
              <w:spacing w:after="0"/>
              <w:rPr>
                <w:sz w:val="16"/>
                <w:szCs w:val="16"/>
                <w:color w:val="auto"/>
              </w:rPr>
            </w:pPr>
          </w:p>
        </w:tc>
      </w:tr>
      <w:tr>
        <w:trPr>
          <w:trHeight w:val="24"/>
        </w:trPr>
        <w:tc>
          <w:tcPr>
            <w:tcW w:w="6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60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New York</w:t>
            </w:r>
          </w:p>
        </w:tc>
        <w:tc>
          <w:tcPr>
            <w:tcW w:w="460" w:type="dxa"/>
            <w:vAlign w:val="bottom"/>
          </w:tcPr>
          <w:p>
            <w:pPr>
              <w:spacing w:after="0"/>
              <w:rPr>
                <w:sz w:val="16"/>
                <w:szCs w:val="16"/>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8"/>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020" w:type="dxa"/>
            <w:vAlign w:val="bottom"/>
            <w:tcBorders>
              <w:top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1,810,425</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1,469,992</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340,433</w:t>
            </w:r>
          </w:p>
        </w:tc>
      </w:tr>
      <w:tr>
        <w:trPr>
          <w:trHeight w:val="191"/>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Deduct: operating expenses</w:t>
            </w:r>
          </w:p>
        </w:tc>
        <w:tc>
          <w:tcPr>
            <w:tcW w:w="10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(919,959)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(761,708)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(158,251)</w:t>
            </w:r>
          </w:p>
        </w:tc>
      </w:tr>
      <w:tr>
        <w:trPr>
          <w:trHeight w:val="20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Deduct: NOI attributable to noncontrolling interests in consolidated subsidiaries</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(41,882)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(28,725)</w:t>
            </w:r>
          </w:p>
        </w:tc>
      </w:tr>
      <w:tr>
        <w:trPr>
          <w:trHeight w:val="192"/>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Add: NOI from partially owned entities</w:t>
            </w:r>
          </w:p>
        </w:tc>
        <w:tc>
          <w:tcPr>
            <w:tcW w:w="10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263,315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252,547</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10,768</w:t>
            </w:r>
          </w:p>
        </w:tc>
      </w:tr>
      <w:tr>
        <w:trPr>
          <w:trHeight w:val="224"/>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w:t>
            </w:r>
          </w:p>
        </w:tc>
        <w:tc>
          <w:tcPr>
            <w:tcW w:w="102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1,111,899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947,674</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164,225</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020" w:type="dxa"/>
            <w:vAlign w:val="bottom"/>
          </w:tcPr>
          <w:p>
            <w:pPr>
              <w:spacing w:after="0"/>
              <w:rPr>
                <w:sz w:val="16"/>
                <w:szCs w:val="16"/>
                <w:color w:val="auto"/>
              </w:rPr>
            </w:pPr>
          </w:p>
        </w:tc>
        <w:tc>
          <w:tcPr>
            <w:tcW w:w="2980" w:type="dxa"/>
            <w:vAlign w:val="bottom"/>
            <w:gridSpan w:val="6"/>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2024</w:t>
            </w:r>
          </w:p>
        </w:tc>
        <w:tc>
          <w:tcPr>
            <w:tcW w:w="1200" w:type="dxa"/>
            <w:vAlign w:val="bottom"/>
          </w:tcPr>
          <w:p>
            <w:pPr>
              <w:spacing w:after="0"/>
              <w:rPr>
                <w:sz w:val="16"/>
                <w:szCs w:val="16"/>
                <w:color w:val="auto"/>
              </w:rPr>
            </w:pPr>
          </w:p>
        </w:tc>
      </w:tr>
      <w:tr>
        <w:trPr>
          <w:trHeight w:val="24"/>
        </w:trPr>
        <w:tc>
          <w:tcPr>
            <w:tcW w:w="6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60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New York</w:t>
            </w:r>
          </w:p>
        </w:tc>
        <w:tc>
          <w:tcPr>
            <w:tcW w:w="460" w:type="dxa"/>
            <w:vAlign w:val="bottom"/>
          </w:tcPr>
          <w:p>
            <w:pPr>
              <w:spacing w:after="0"/>
              <w:rPr>
                <w:sz w:val="16"/>
                <w:szCs w:val="16"/>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8"/>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020" w:type="dxa"/>
            <w:vAlign w:val="bottom"/>
            <w:tcBorders>
              <w:top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1,787,686</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1,464,542</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323,144</w:t>
            </w:r>
          </w:p>
        </w:tc>
      </w:tr>
      <w:tr>
        <w:trPr>
          <w:trHeight w:val="191"/>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Deduct: operating expenses</w:t>
            </w:r>
          </w:p>
        </w:tc>
        <w:tc>
          <w:tcPr>
            <w:tcW w:w="10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(927,796)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(761,353)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(166,443)</w:t>
            </w:r>
          </w:p>
        </w:tc>
      </w:tr>
      <w:tr>
        <w:trPr>
          <w:trHeight w:val="20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Deduct: NOI attributable to noncontrolling interests in consolidated subsidiaries</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(27,635)</w:t>
            </w:r>
          </w:p>
        </w:tc>
      </w:tr>
      <w:tr>
        <w:trPr>
          <w:trHeight w:val="192"/>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Add: NOI from partially owned entities</w:t>
            </w:r>
          </w:p>
        </w:tc>
        <w:tc>
          <w:tcPr>
            <w:tcW w:w="10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279,229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267,962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11,267</w:t>
            </w:r>
          </w:p>
        </w:tc>
      </w:tr>
      <w:tr>
        <w:trPr>
          <w:trHeight w:val="224"/>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w:t>
            </w:r>
          </w:p>
        </w:tc>
        <w:tc>
          <w:tcPr>
            <w:tcW w:w="102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1,099,752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959,419</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140,333</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020" w:type="dxa"/>
            <w:vAlign w:val="bottom"/>
          </w:tcPr>
          <w:p>
            <w:pPr>
              <w:spacing w:after="0"/>
              <w:rPr>
                <w:sz w:val="16"/>
                <w:szCs w:val="16"/>
                <w:color w:val="auto"/>
              </w:rPr>
            </w:pPr>
          </w:p>
        </w:tc>
        <w:tc>
          <w:tcPr>
            <w:tcW w:w="2980" w:type="dxa"/>
            <w:vAlign w:val="bottom"/>
            <w:gridSpan w:val="6"/>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2023</w:t>
            </w:r>
          </w:p>
        </w:tc>
        <w:tc>
          <w:tcPr>
            <w:tcW w:w="1200" w:type="dxa"/>
            <w:vAlign w:val="bottom"/>
          </w:tcPr>
          <w:p>
            <w:pPr>
              <w:spacing w:after="0"/>
              <w:rPr>
                <w:sz w:val="16"/>
                <w:szCs w:val="16"/>
                <w:color w:val="auto"/>
              </w:rPr>
            </w:pPr>
          </w:p>
        </w:tc>
      </w:tr>
      <w:tr>
        <w:trPr>
          <w:trHeight w:val="24"/>
        </w:trPr>
        <w:tc>
          <w:tcPr>
            <w:tcW w:w="6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60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New York</w:t>
            </w:r>
          </w:p>
        </w:tc>
        <w:tc>
          <w:tcPr>
            <w:tcW w:w="460" w:type="dxa"/>
            <w:vAlign w:val="bottom"/>
          </w:tcPr>
          <w:p>
            <w:pPr>
              <w:spacing w:after="0"/>
              <w:rPr>
                <w:sz w:val="16"/>
                <w:szCs w:val="16"/>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8"/>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020" w:type="dxa"/>
            <w:vAlign w:val="bottom"/>
            <w:tcBorders>
              <w:top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1,811,163</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1,442,989</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368,174</w:t>
            </w:r>
          </w:p>
        </w:tc>
      </w:tr>
      <w:tr>
        <w:trPr>
          <w:trHeight w:val="191"/>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Deduct: operating expenses</w:t>
            </w:r>
          </w:p>
        </w:tc>
        <w:tc>
          <w:tcPr>
            <w:tcW w:w="10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(905,158)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(729,243)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(175,915)</w:t>
            </w:r>
          </w:p>
        </w:tc>
      </w:tr>
      <w:tr>
        <w:trPr>
          <w:trHeight w:val="20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Deduct: NOI attributable to noncontrolling interests in consolidated subsidiaries</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(48,553)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(35,123)</w:t>
            </w:r>
          </w:p>
        </w:tc>
      </w:tr>
      <w:tr>
        <w:trPr>
          <w:trHeight w:val="192"/>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Add: NOI from partially owned entities</w:t>
            </w:r>
          </w:p>
        </w:tc>
        <w:tc>
          <w:tcPr>
            <w:tcW w:w="10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285,761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274,435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11,326</w:t>
            </w:r>
          </w:p>
        </w:tc>
      </w:tr>
      <w:tr>
        <w:trPr>
          <w:trHeight w:val="224"/>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w:t>
            </w:r>
          </w:p>
        </w:tc>
        <w:tc>
          <w:tcPr>
            <w:tcW w:w="102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1,143,213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974,751</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168,462</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documents listed below are filed herewith or incorporated herein by reference and numbered in accordance with Item 601 of Regulation S-K.</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40" w:type="dxa"/>
            <w:vAlign w:val="bottom"/>
            <w:vMerge w:val="restart"/>
          </w:tcPr>
          <w:p>
            <w:pPr>
              <w:ind w:left="28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39"/>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spacing w:after="0"/>
              <w:rPr>
                <w:sz w:val="20"/>
                <w:szCs w:val="20"/>
                <w:color w:val="auto"/>
              </w:rPr>
            </w:pPr>
          </w:p>
        </w:tc>
        <w:tc>
          <w:tcPr>
            <w:tcW w:w="8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15.1</w:t>
            </w:r>
          </w:p>
        </w:tc>
        <w:tc>
          <w:tcPr>
            <w:tcW w:w="800" w:type="dxa"/>
            <w:vAlign w:val="bottom"/>
            <w:vMerge w:val="continue"/>
          </w:tcPr>
          <w:p>
            <w:pPr>
              <w:spacing w:after="0"/>
              <w:rPr>
                <w:sz w:val="18"/>
                <w:szCs w:val="18"/>
                <w:color w:val="auto"/>
              </w:rPr>
            </w:pPr>
          </w:p>
        </w:tc>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Letter regarding Unaudited Interim Financial Information of Vornado Realty Trust</w:t>
            </w:r>
          </w:p>
        </w:tc>
        <w:tc>
          <w:tcPr>
            <w:tcW w:w="0" w:type="dxa"/>
            <w:vAlign w:val="bottom"/>
          </w:tcPr>
          <w:p>
            <w:pPr>
              <w:spacing w:after="0"/>
              <w:rPr>
                <w:sz w:val="1"/>
                <w:szCs w:val="1"/>
                <w:color w:val="auto"/>
              </w:rPr>
            </w:pPr>
          </w:p>
        </w:tc>
      </w:tr>
      <w:tr>
        <w:trPr>
          <w:trHeight w:val="225"/>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15.2</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Letter regarding Unaudited Interim Financial Information of Vornado Realty L.P.</w:t>
            </w:r>
          </w:p>
        </w:tc>
        <w:tc>
          <w:tcPr>
            <w:tcW w:w="0" w:type="dxa"/>
            <w:vAlign w:val="bottom"/>
          </w:tcPr>
          <w:p>
            <w:pPr>
              <w:spacing w:after="0"/>
              <w:rPr>
                <w:sz w:val="1"/>
                <w:szCs w:val="1"/>
                <w:color w:val="auto"/>
              </w:rPr>
            </w:pPr>
          </w:p>
        </w:tc>
      </w:tr>
      <w:tr>
        <w:trPr>
          <w:trHeight w:val="225"/>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31.1</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the Chief Executive Officer of Vornado Realty Trust</w:t>
            </w:r>
          </w:p>
        </w:tc>
        <w:tc>
          <w:tcPr>
            <w:tcW w:w="0" w:type="dxa"/>
            <w:vAlign w:val="bottom"/>
          </w:tcPr>
          <w:p>
            <w:pPr>
              <w:spacing w:after="0"/>
              <w:rPr>
                <w:sz w:val="1"/>
                <w:szCs w:val="1"/>
                <w:color w:val="auto"/>
              </w:rPr>
            </w:pPr>
          </w:p>
        </w:tc>
      </w:tr>
      <w:tr>
        <w:trPr>
          <w:trHeight w:val="225"/>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31.2</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the Chief Financial Officer of Vornado Realty Trust</w:t>
            </w:r>
          </w:p>
        </w:tc>
        <w:tc>
          <w:tcPr>
            <w:tcW w:w="0" w:type="dxa"/>
            <w:vAlign w:val="bottom"/>
          </w:tcPr>
          <w:p>
            <w:pPr>
              <w:spacing w:after="0"/>
              <w:rPr>
                <w:sz w:val="1"/>
                <w:szCs w:val="1"/>
                <w:color w:val="auto"/>
              </w:rPr>
            </w:pPr>
          </w:p>
        </w:tc>
      </w:tr>
      <w:tr>
        <w:trPr>
          <w:trHeight w:val="225"/>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31.3</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the Chief Executive Officer of Vornado Realty L.P.</w:t>
            </w:r>
          </w:p>
        </w:tc>
        <w:tc>
          <w:tcPr>
            <w:tcW w:w="0" w:type="dxa"/>
            <w:vAlign w:val="bottom"/>
          </w:tcPr>
          <w:p>
            <w:pPr>
              <w:spacing w:after="0"/>
              <w:rPr>
                <w:sz w:val="1"/>
                <w:szCs w:val="1"/>
                <w:color w:val="auto"/>
              </w:rPr>
            </w:pPr>
          </w:p>
        </w:tc>
      </w:tr>
      <w:tr>
        <w:trPr>
          <w:trHeight w:val="225"/>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31.4</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13a-14(a) Certification of the Chief Financial Officer of Vornado Realty L.P.</w:t>
            </w:r>
          </w:p>
        </w:tc>
        <w:tc>
          <w:tcPr>
            <w:tcW w:w="0" w:type="dxa"/>
            <w:vAlign w:val="bottom"/>
          </w:tcPr>
          <w:p>
            <w:pPr>
              <w:spacing w:after="0"/>
              <w:rPr>
                <w:sz w:val="1"/>
                <w:szCs w:val="1"/>
                <w:color w:val="auto"/>
              </w:rPr>
            </w:pPr>
          </w:p>
        </w:tc>
      </w:tr>
      <w:tr>
        <w:trPr>
          <w:trHeight w:val="225"/>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32.1</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Section 1350</w:t>
            </w:r>
          </w:p>
        </w:tc>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the Chief Executive Officer of Vornado Realty Trust</w:t>
            </w:r>
          </w:p>
        </w:tc>
        <w:tc>
          <w:tcPr>
            <w:tcW w:w="0" w:type="dxa"/>
            <w:vAlign w:val="bottom"/>
          </w:tcPr>
          <w:p>
            <w:pPr>
              <w:spacing w:after="0"/>
              <w:rPr>
                <w:sz w:val="1"/>
                <w:szCs w:val="1"/>
                <w:color w:val="auto"/>
              </w:rPr>
            </w:pPr>
          </w:p>
        </w:tc>
      </w:tr>
      <w:tr>
        <w:trPr>
          <w:trHeight w:val="225"/>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32.2</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Section 1350</w:t>
            </w:r>
          </w:p>
        </w:tc>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the Chief Financial Officer of Vornado Realty Trust</w:t>
            </w:r>
          </w:p>
        </w:tc>
        <w:tc>
          <w:tcPr>
            <w:tcW w:w="0" w:type="dxa"/>
            <w:vAlign w:val="bottom"/>
          </w:tcPr>
          <w:p>
            <w:pPr>
              <w:spacing w:after="0"/>
              <w:rPr>
                <w:sz w:val="1"/>
                <w:szCs w:val="1"/>
                <w:color w:val="auto"/>
              </w:rPr>
            </w:pPr>
          </w:p>
        </w:tc>
      </w:tr>
      <w:tr>
        <w:trPr>
          <w:trHeight w:val="225"/>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0E32E1"/>
              </w:rPr>
              <w:t>32.3</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Section 1350</w:t>
            </w:r>
          </w:p>
        </w:tc>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the Chief Executive Officer of Vornado Realty L.P.</w:t>
            </w:r>
          </w:p>
        </w:tc>
        <w:tc>
          <w:tcPr>
            <w:tcW w:w="0" w:type="dxa"/>
            <w:vAlign w:val="bottom"/>
          </w:tcPr>
          <w:p>
            <w:pPr>
              <w:spacing w:after="0"/>
              <w:rPr>
                <w:sz w:val="1"/>
                <w:szCs w:val="1"/>
                <w:color w:val="auto"/>
              </w:rPr>
            </w:pPr>
          </w:p>
        </w:tc>
      </w:tr>
      <w:tr>
        <w:trPr>
          <w:trHeight w:val="231"/>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32.4</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Section 1350</w:t>
            </w:r>
          </w:p>
        </w:tc>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the Chief Financial Officer of Vornado Realty L.P.</w:t>
            </w:r>
          </w:p>
        </w:tc>
        <w:tc>
          <w:tcPr>
            <w:tcW w:w="0" w:type="dxa"/>
            <w:vAlign w:val="bottom"/>
          </w:tcPr>
          <w:p>
            <w:pPr>
              <w:spacing w:after="0"/>
              <w:rPr>
                <w:sz w:val="1"/>
                <w:szCs w:val="1"/>
                <w:color w:val="auto"/>
              </w:rPr>
            </w:pPr>
          </w:p>
        </w:tc>
      </w:tr>
    </w:tbl>
    <w:p>
      <w:pPr>
        <w:jc w:val="right"/>
        <w:ind w:left="1820" w:right="20" w:hanging="1529"/>
        <w:spacing w:after="0" w:line="222" w:lineRule="auto"/>
        <w:tabs>
          <w:tab w:leader="none" w:pos="139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following financial information from Vornado Realty Trust and Vornado Realty L.P. Quarterly Report on Form 10-Q for the quarter ended September 30, 2026 formatted in Inline Extensible Business Reporting Language (iXBRL) includes: (i) consolidated balance sheets, (ii) consolidated statements of income, (iii) consolidated statements of comprehensive income,</w:t>
      </w:r>
    </w:p>
    <w:p>
      <w:pPr>
        <w:spacing w:after="0" w:line="1" w:lineRule="exact"/>
        <w:rPr>
          <w:rFonts w:ascii="Times New Roman" w:cs="Times New Roman" w:eastAsia="Times New Roman" w:hAnsi="Times New Roman"/>
          <w:sz w:val="17"/>
          <w:szCs w:val="17"/>
          <w:color w:val="auto"/>
        </w:rPr>
      </w:pPr>
    </w:p>
    <w:p>
      <w:pPr>
        <w:ind w:left="1820" w:right="20" w:hanging="8"/>
        <w:spacing w:after="0" w:line="222" w:lineRule="auto"/>
        <w:tabs>
          <w:tab w:leader="none" w:pos="217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changes in equity, (v) consolidated statements of cash flows, and (vi) the notes to consolidated financial statements.</w:t>
      </w:r>
    </w:p>
    <w:p>
      <w:pPr>
        <w:spacing w:after="0" w:line="8" w:lineRule="exact"/>
        <w:rPr>
          <w:sz w:val="20"/>
          <w:szCs w:val="20"/>
          <w:color w:val="auto"/>
        </w:rPr>
      </w:pPr>
    </w:p>
    <w:p>
      <w:pPr>
        <w:ind w:left="1820" w:right="20" w:hanging="1529"/>
        <w:spacing w:after="0" w:line="234" w:lineRule="auto"/>
        <w:tabs>
          <w:tab w:leader="none" w:pos="139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cover page from the Vornado Realty Trust and Vornado Realty L.P. Quarterly Report on Form 10-Q for the quarter ended September 30, 2026, formatted as iXBRL and contained in Exhibit 101.</w:t>
      </w: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640"/>
          </w:cols>
          <w:pgMar w:left="320" w:top="1126" w:right="9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ind w:firstLine="318"/>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8"/>
          <w:szCs w:val="18"/>
          <w:b w:val="1"/>
          <w:bCs w:val="1"/>
          <w:color w:val="auto"/>
        </w:rPr>
        <w:t>VORNADO REALTY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15875</wp:posOffset>
            </wp:positionV>
            <wp:extent cx="31889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4"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5720" w:val="left"/>
          <w:tab w:leader="none" w:pos="626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Deirdre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14605</wp:posOffset>
            </wp:positionV>
            <wp:extent cx="31889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ind w:left="6240"/>
        <w:spacing w:after="0"/>
        <w:rPr>
          <w:sz w:val="20"/>
          <w:szCs w:val="20"/>
          <w:color w:val="auto"/>
        </w:rPr>
      </w:pPr>
      <w:r>
        <w:rPr>
          <w:rFonts w:ascii="Times New Roman" w:cs="Times New Roman" w:eastAsia="Times New Roman" w:hAnsi="Times New Roman"/>
          <w:sz w:val="18"/>
          <w:szCs w:val="18"/>
          <w:color w:val="auto"/>
        </w:rPr>
        <w:t>Deirdre Maddock, Chief Accounting Officer</w:t>
      </w:r>
    </w:p>
    <w:p>
      <w:pPr>
        <w:ind w:left="6240"/>
        <w:spacing w:after="0"/>
        <w:rPr>
          <w:sz w:val="20"/>
          <w:szCs w:val="20"/>
          <w:color w:val="auto"/>
        </w:rPr>
      </w:pPr>
      <w:r>
        <w:rPr>
          <w:rFonts w:ascii="Times New Roman" w:cs="Times New Roman" w:eastAsia="Times New Roman" w:hAnsi="Times New Roman"/>
          <w:sz w:val="18"/>
          <w:szCs w:val="18"/>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ind w:firstLine="318"/>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VORNADO REALTY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3899535</wp:posOffset>
            </wp:positionH>
            <wp:positionV relativeFrom="paragraph">
              <wp:posOffset>15875</wp:posOffset>
            </wp:positionV>
            <wp:extent cx="32391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9135" cy="8255"/>
                    </a:xfrm>
                    <a:prstGeom prst="rect">
                      <a:avLst/>
                    </a:prstGeom>
                    <a:noFill/>
                  </pic:spPr>
                </pic:pic>
              </a:graphicData>
            </a:graphic>
          </wp:anchor>
        </w:drawing>
      </w:r>
    </w:p>
    <w:p>
      <w:pPr>
        <w:spacing w:after="0" w:line="14"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5640" w:val="left"/>
          <w:tab w:leader="none" w:pos="634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Deirdre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3899535</wp:posOffset>
            </wp:positionH>
            <wp:positionV relativeFrom="paragraph">
              <wp:posOffset>14605</wp:posOffset>
            </wp:positionV>
            <wp:extent cx="32391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39135" cy="8255"/>
                    </a:xfrm>
                    <a:prstGeom prst="rect">
                      <a:avLst/>
                    </a:prstGeom>
                    <a:noFill/>
                  </pic:spPr>
                </pic:pic>
              </a:graphicData>
            </a:graphic>
          </wp:anchor>
        </w:drawing>
      </w:r>
    </w:p>
    <w:p>
      <w:pPr>
        <w:ind w:left="6160"/>
        <w:spacing w:after="0"/>
        <w:rPr>
          <w:sz w:val="20"/>
          <w:szCs w:val="20"/>
          <w:color w:val="auto"/>
        </w:rPr>
      </w:pPr>
      <w:r>
        <w:rPr>
          <w:rFonts w:ascii="Times New Roman" w:cs="Times New Roman" w:eastAsia="Times New Roman" w:hAnsi="Times New Roman"/>
          <w:sz w:val="18"/>
          <w:szCs w:val="18"/>
          <w:color w:val="auto"/>
        </w:rPr>
        <w:t>Deirdre Maddock, Chief Accounting Officer of Vornado Realty Trust,</w:t>
      </w:r>
    </w:p>
    <w:p>
      <w:pPr>
        <w:ind w:left="6160"/>
        <w:spacing w:after="0" w:line="215" w:lineRule="auto"/>
        <w:rPr>
          <w:sz w:val="20"/>
          <w:szCs w:val="20"/>
          <w:color w:val="auto"/>
        </w:rPr>
      </w:pPr>
      <w:r>
        <w:rPr>
          <w:rFonts w:ascii="Times New Roman" w:cs="Times New Roman" w:eastAsia="Times New Roman" w:hAnsi="Times New Roman"/>
          <w:sz w:val="18"/>
          <w:szCs w:val="18"/>
          <w:color w:val="auto"/>
        </w:rPr>
        <w:t>sole General Partner of Vornado Realty L.P. (duly authorized officer</w:t>
      </w:r>
    </w:p>
    <w:p>
      <w:pPr>
        <w:ind w:left="6160"/>
        <w:spacing w:after="0"/>
        <w:rPr>
          <w:sz w:val="20"/>
          <w:szCs w:val="20"/>
          <w:color w:val="auto"/>
        </w:rPr>
      </w:pPr>
      <w:r>
        <w:rPr>
          <w:rFonts w:ascii="Times New Roman" w:cs="Times New Roman" w:eastAsia="Times New Roman" w:hAnsi="Times New Roman"/>
          <w:sz w:val="18"/>
          <w:szCs w:val="18"/>
          <w:color w:val="auto"/>
        </w:rPr>
        <w:t>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914"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Trustees and Shareholders of Vornado Realty Trust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 Seventh Avenue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aware that our report dated November 2, 2026, on our review of the interim financial information of Vornado Realty Trust and subsidiaries appearing in this Quarterly Report on Form 10-Q for the quarter ended September 30, 2026, is incorporated by reference in the following Registration Statements of Vornado Realty Trust:</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Amendment No.1 to Registration Statement No. 333-36080 on Form S-3</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Amendment No.1 to Registration Statement No. 333-50095 on Form S-3</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Amendment No.1 to Registration Statement No. 333-89667 on Form S-3</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Amendment No.1 to Registration Statement No. 333-102215 on Form S-3</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Amendment No.1 to Registration Statement No. 333-102217 on Form S-3</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Registration Statement No. 333-105838 on Form S-3</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Registration Statement No. 333-107024 on Form S-3</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Registration Statement No. 333-114146 on Form S-3</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Registration Statement No. 333-121929 on Form S-3</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Amendment No.1 to Registration Statement No. 333-120384 on Form S-3</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Registration Statement No. 333-126963 on Form S-3</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Registration Statement No. 333-139646 on Form S-3</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Registration Statement No. 333-141162 on Form S-3</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Registration Statement No. 333-150592 on Form S-3</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Registration Statement No. 333-172880 on Form S-8</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Registration Statement No. 333-191865 on Form S-4</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Registration Statement No. 333-232056 on Form S-8</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Registration Statement No. 333-272385 on Form S-8</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in the joint Registration Statement No. 333-278428 on Form S-3 of Vornado Realty Trust and Vornado Realty 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ectPr>
          <w:pgSz w:w="11900" w:h="16838" w:orient="portrait"/>
          <w:cols w:equalWidth="0" w:num="1">
            <w:col w:w="11240"/>
          </w:cols>
          <w:pgMar w:left="320" w:top="994"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 2026</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Partners of Vornado Realty L.P. and the Board of Trustees of Vornado Realty Trust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 Seventh Avenue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aware that our report dated November 2, 2026, on our review of the interim financial information of Vornado Realty L.P. and subsidiaries appearing in this Quarterly Report on Form 10-Q for the quarter ended September 30, 2026, is incorporated by reference in the joint Registration Statement No. 333-278428 on Form S-3 of Vornado Realty Trust and Vornado Realty L.P.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ectPr>
          <w:pgSz w:w="11900" w:h="16838" w:orient="portrait"/>
          <w:cols w:equalWidth="0" w:num="1">
            <w:col w:w="11240"/>
          </w:cols>
          <w:pgMar w:left="320" w:top="755"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I, Steven Roth, certify that:</w:t>
      </w:r>
    </w:p>
    <w:p>
      <w:pPr>
        <w:spacing w:after="0" w:line="227" w:lineRule="exact"/>
        <w:rPr>
          <w:sz w:val="20"/>
          <w:szCs w:val="20"/>
          <w:color w:val="auto"/>
        </w:rPr>
      </w:pPr>
    </w:p>
    <w:p>
      <w:pPr>
        <w:ind w:left="440" w:hanging="318"/>
        <w:spacing w:after="0"/>
        <w:tabs>
          <w:tab w:leader="none" w:pos="4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Vornado Realty Trust;</w:t>
      </w:r>
    </w:p>
    <w:p>
      <w:pPr>
        <w:spacing w:after="0" w:line="107" w:lineRule="exact"/>
        <w:rPr>
          <w:rFonts w:ascii="Times New Roman" w:cs="Times New Roman" w:eastAsia="Times New Roman" w:hAnsi="Times New Roman"/>
          <w:sz w:val="16"/>
          <w:szCs w:val="16"/>
          <w:color w:val="auto"/>
        </w:rPr>
      </w:pPr>
    </w:p>
    <w:p>
      <w:pPr>
        <w:ind w:left="440" w:hanging="318"/>
        <w:spacing w:after="0" w:line="290" w:lineRule="auto"/>
        <w:tabs>
          <w:tab w:leader="none" w:pos="4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Times New Roman" w:cs="Times New Roman" w:eastAsia="Times New Roman" w:hAnsi="Times New Roman"/>
          <w:sz w:val="16"/>
          <w:szCs w:val="16"/>
          <w:color w:val="auto"/>
        </w:rPr>
      </w:pPr>
    </w:p>
    <w:p>
      <w:pPr>
        <w:ind w:left="440" w:hanging="318"/>
        <w:spacing w:after="0" w:line="272" w:lineRule="auto"/>
        <w:tabs>
          <w:tab w:leader="none" w:pos="4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Times New Roman" w:cs="Times New Roman" w:eastAsia="Times New Roman" w:hAnsi="Times New Roman"/>
          <w:sz w:val="16"/>
          <w:szCs w:val="16"/>
          <w:color w:val="auto"/>
        </w:rPr>
      </w:pPr>
    </w:p>
    <w:p>
      <w:pPr>
        <w:jc w:val="both"/>
        <w:ind w:left="440" w:hanging="318"/>
        <w:spacing w:after="0" w:line="198" w:lineRule="exact"/>
        <w:tabs>
          <w:tab w:leader="none" w:pos="4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 and procedures (as defined in Exchange Act Rules 13a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15d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internal control over financial reporting (as defined in Exchange Act Rules 13a-15(f) and 15d-15(f)) for the registrant and have:</w:t>
      </w:r>
    </w:p>
    <w:p>
      <w:pPr>
        <w:spacing w:after="0" w:line="84" w:lineRule="exact"/>
        <w:rPr>
          <w:rFonts w:ascii="Times New Roman" w:cs="Times New Roman" w:eastAsia="Times New Roman" w:hAnsi="Times New Roman"/>
          <w:sz w:val="16"/>
          <w:szCs w:val="16"/>
          <w:color w:val="auto"/>
        </w:rPr>
      </w:pPr>
    </w:p>
    <w:p>
      <w:pPr>
        <w:jc w:val="both"/>
        <w:ind w:left="760" w:hanging="320"/>
        <w:spacing w:after="0" w:line="266" w:lineRule="auto"/>
        <w:tabs>
          <w:tab w:leader="none" w:pos="751"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6"/>
          <w:szCs w:val="16"/>
          <w:color w:val="auto"/>
        </w:rPr>
      </w:pPr>
    </w:p>
    <w:p>
      <w:pPr>
        <w:jc w:val="both"/>
        <w:ind w:left="760" w:hanging="320"/>
        <w:spacing w:after="0" w:line="266" w:lineRule="auto"/>
        <w:tabs>
          <w:tab w:leader="none" w:pos="76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Times New Roman" w:cs="Times New Roman" w:eastAsia="Times New Roman" w:hAnsi="Times New Roman"/>
          <w:sz w:val="16"/>
          <w:szCs w:val="16"/>
          <w:color w:val="auto"/>
        </w:rPr>
      </w:pPr>
    </w:p>
    <w:p>
      <w:pPr>
        <w:ind w:left="760" w:hanging="320"/>
        <w:spacing w:after="0" w:line="290" w:lineRule="auto"/>
        <w:tabs>
          <w:tab w:leader="none" w:pos="751"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6"/>
          <w:szCs w:val="16"/>
          <w:color w:val="auto"/>
        </w:rPr>
      </w:pPr>
    </w:p>
    <w:p>
      <w:pPr>
        <w:jc w:val="both"/>
        <w:ind w:left="760" w:hanging="320"/>
        <w:spacing w:after="0" w:line="266" w:lineRule="auto"/>
        <w:tabs>
          <w:tab w:leader="none" w:pos="76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6"/>
          <w:szCs w:val="16"/>
          <w:color w:val="auto"/>
        </w:rPr>
      </w:pPr>
    </w:p>
    <w:p>
      <w:pPr>
        <w:ind w:left="440" w:hanging="318"/>
        <w:spacing w:after="0" w:line="290" w:lineRule="auto"/>
        <w:tabs>
          <w:tab w:leader="none" w:pos="4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Times New Roman" w:cs="Times New Roman" w:eastAsia="Times New Roman" w:hAnsi="Times New Roman"/>
          <w:sz w:val="16"/>
          <w:szCs w:val="16"/>
          <w:color w:val="auto"/>
        </w:rPr>
      </w:pPr>
    </w:p>
    <w:p>
      <w:pPr>
        <w:ind w:left="760" w:hanging="320"/>
        <w:spacing w:after="0" w:line="272" w:lineRule="auto"/>
        <w:tabs>
          <w:tab w:leader="none" w:pos="751"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6"/>
          <w:szCs w:val="16"/>
          <w:color w:val="auto"/>
        </w:rPr>
      </w:pPr>
    </w:p>
    <w:p>
      <w:pPr>
        <w:ind w:left="760" w:hanging="320"/>
        <w:spacing w:after="0" w:line="272" w:lineRule="auto"/>
        <w:tabs>
          <w:tab w:leader="none" w:pos="760"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November 2, 2026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Steven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18415</wp:posOffset>
            </wp:positionV>
            <wp:extent cx="30372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037205" cy="825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Steven Roth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p>
      <w:pPr>
        <w:sectPr>
          <w:pgSz w:w="11900" w:h="16838" w:orient="portrait"/>
          <w:cols w:equalWidth="0" w:num="1">
            <w:col w:w="10720"/>
          </w:cols>
          <w:pgMar w:left="840" w:top="874"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I, Michael J. Franco, certify that:</w:t>
      </w:r>
    </w:p>
    <w:p>
      <w:pPr>
        <w:spacing w:after="0" w:line="227" w:lineRule="exact"/>
        <w:rPr>
          <w:sz w:val="20"/>
          <w:szCs w:val="20"/>
          <w:color w:val="auto"/>
        </w:rPr>
      </w:pPr>
    </w:p>
    <w:p>
      <w:pPr>
        <w:ind w:left="440" w:hanging="318"/>
        <w:spacing w:after="0"/>
        <w:tabs>
          <w:tab w:leader="none" w:pos="4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Vornado Realty Trust;</w:t>
      </w:r>
    </w:p>
    <w:p>
      <w:pPr>
        <w:spacing w:after="0" w:line="107" w:lineRule="exact"/>
        <w:rPr>
          <w:rFonts w:ascii="Times New Roman" w:cs="Times New Roman" w:eastAsia="Times New Roman" w:hAnsi="Times New Roman"/>
          <w:sz w:val="16"/>
          <w:szCs w:val="16"/>
          <w:color w:val="auto"/>
        </w:rPr>
      </w:pPr>
    </w:p>
    <w:p>
      <w:pPr>
        <w:ind w:left="440" w:hanging="318"/>
        <w:spacing w:after="0" w:line="290" w:lineRule="auto"/>
        <w:tabs>
          <w:tab w:leader="none" w:pos="4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Times New Roman" w:cs="Times New Roman" w:eastAsia="Times New Roman" w:hAnsi="Times New Roman"/>
          <w:sz w:val="16"/>
          <w:szCs w:val="16"/>
          <w:color w:val="auto"/>
        </w:rPr>
      </w:pPr>
    </w:p>
    <w:p>
      <w:pPr>
        <w:ind w:left="440" w:hanging="318"/>
        <w:spacing w:after="0" w:line="272" w:lineRule="auto"/>
        <w:tabs>
          <w:tab w:leader="none" w:pos="4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Times New Roman" w:cs="Times New Roman" w:eastAsia="Times New Roman" w:hAnsi="Times New Roman"/>
          <w:sz w:val="16"/>
          <w:szCs w:val="16"/>
          <w:color w:val="auto"/>
        </w:rPr>
      </w:pPr>
    </w:p>
    <w:p>
      <w:pPr>
        <w:jc w:val="both"/>
        <w:ind w:left="440" w:hanging="318"/>
        <w:spacing w:after="0" w:line="198" w:lineRule="exact"/>
        <w:tabs>
          <w:tab w:leader="none" w:pos="4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 and procedures (as defined in Exchange Act Rules 13a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15d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internal control over financial reporting (as defined in Exchange Act Rules 13a-15(f) and 15d-15(f)) for the registrant and have:</w:t>
      </w:r>
    </w:p>
    <w:p>
      <w:pPr>
        <w:spacing w:after="0" w:line="84" w:lineRule="exact"/>
        <w:rPr>
          <w:rFonts w:ascii="Times New Roman" w:cs="Times New Roman" w:eastAsia="Times New Roman" w:hAnsi="Times New Roman"/>
          <w:sz w:val="16"/>
          <w:szCs w:val="16"/>
          <w:color w:val="auto"/>
        </w:rPr>
      </w:pPr>
    </w:p>
    <w:p>
      <w:pPr>
        <w:jc w:val="both"/>
        <w:ind w:left="760" w:hanging="320"/>
        <w:spacing w:after="0" w:line="266" w:lineRule="auto"/>
        <w:tabs>
          <w:tab w:leader="none" w:pos="751"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6"/>
          <w:szCs w:val="16"/>
          <w:color w:val="auto"/>
        </w:rPr>
      </w:pPr>
    </w:p>
    <w:p>
      <w:pPr>
        <w:jc w:val="both"/>
        <w:ind w:left="760" w:hanging="320"/>
        <w:spacing w:after="0" w:line="266" w:lineRule="auto"/>
        <w:tabs>
          <w:tab w:leader="none" w:pos="76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Times New Roman" w:cs="Times New Roman" w:eastAsia="Times New Roman" w:hAnsi="Times New Roman"/>
          <w:sz w:val="16"/>
          <w:szCs w:val="16"/>
          <w:color w:val="auto"/>
        </w:rPr>
      </w:pPr>
    </w:p>
    <w:p>
      <w:pPr>
        <w:ind w:left="760" w:hanging="320"/>
        <w:spacing w:after="0" w:line="290" w:lineRule="auto"/>
        <w:tabs>
          <w:tab w:leader="none" w:pos="751"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6"/>
          <w:szCs w:val="16"/>
          <w:color w:val="auto"/>
        </w:rPr>
      </w:pPr>
    </w:p>
    <w:p>
      <w:pPr>
        <w:jc w:val="both"/>
        <w:ind w:left="760" w:hanging="320"/>
        <w:spacing w:after="0" w:line="266" w:lineRule="auto"/>
        <w:tabs>
          <w:tab w:leader="none" w:pos="76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6"/>
          <w:szCs w:val="16"/>
          <w:color w:val="auto"/>
        </w:rPr>
      </w:pPr>
    </w:p>
    <w:p>
      <w:pPr>
        <w:ind w:left="440" w:hanging="318"/>
        <w:spacing w:after="0" w:line="290" w:lineRule="auto"/>
        <w:tabs>
          <w:tab w:leader="none" w:pos="4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Times New Roman" w:cs="Times New Roman" w:eastAsia="Times New Roman" w:hAnsi="Times New Roman"/>
          <w:sz w:val="16"/>
          <w:szCs w:val="16"/>
          <w:color w:val="auto"/>
        </w:rPr>
      </w:pPr>
    </w:p>
    <w:p>
      <w:pPr>
        <w:ind w:left="760" w:hanging="320"/>
        <w:spacing w:after="0" w:line="272" w:lineRule="auto"/>
        <w:tabs>
          <w:tab w:leader="none" w:pos="751"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6"/>
          <w:szCs w:val="16"/>
          <w:color w:val="auto"/>
        </w:rPr>
      </w:pPr>
    </w:p>
    <w:p>
      <w:pPr>
        <w:ind w:left="760" w:hanging="320"/>
        <w:spacing w:after="0" w:line="272" w:lineRule="auto"/>
        <w:tabs>
          <w:tab w:leader="none" w:pos="76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November 2,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Michael J. Franco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34328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3281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Michael J. Franco</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President and Chief Financial Officer</w:t>
      </w:r>
    </w:p>
    <w:p>
      <w:pPr>
        <w:sectPr>
          <w:pgSz w:w="11900" w:h="16838" w:orient="portrait"/>
          <w:cols w:equalWidth="0" w:num="1">
            <w:col w:w="10720"/>
          </w:cols>
          <w:pgMar w:left="840" w:top="874"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32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 Steven Roth, certify that:</w:t>
      </w:r>
    </w:p>
    <w:p>
      <w:pPr>
        <w:spacing w:after="0" w:line="227" w:lineRule="exact"/>
        <w:rPr>
          <w:sz w:val="20"/>
          <w:szCs w:val="20"/>
          <w:color w:val="auto"/>
        </w:rPr>
      </w:pPr>
    </w:p>
    <w:p>
      <w:pPr>
        <w:ind w:left="520" w:hanging="278"/>
        <w:spacing w:after="0"/>
        <w:tabs>
          <w:tab w:leader="none" w:pos="5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Vornado Realty L.P.;</w:t>
      </w:r>
    </w:p>
    <w:p>
      <w:pPr>
        <w:spacing w:after="0" w:line="107" w:lineRule="exact"/>
        <w:rPr>
          <w:rFonts w:ascii="Times New Roman" w:cs="Times New Roman" w:eastAsia="Times New Roman" w:hAnsi="Times New Roman"/>
          <w:sz w:val="16"/>
          <w:szCs w:val="16"/>
          <w:color w:val="auto"/>
        </w:rPr>
      </w:pPr>
    </w:p>
    <w:p>
      <w:pPr>
        <w:ind w:left="560" w:hanging="318"/>
        <w:spacing w:after="0" w:line="290" w:lineRule="auto"/>
        <w:tabs>
          <w:tab w:leader="none" w:pos="566"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Times New Roman" w:cs="Times New Roman" w:eastAsia="Times New Roman" w:hAnsi="Times New Roman"/>
          <w:sz w:val="16"/>
          <w:szCs w:val="16"/>
          <w:color w:val="auto"/>
        </w:rPr>
      </w:pPr>
    </w:p>
    <w:p>
      <w:pPr>
        <w:ind w:left="560" w:hanging="318"/>
        <w:spacing w:after="0" w:line="272" w:lineRule="auto"/>
        <w:tabs>
          <w:tab w:leader="none" w:pos="588"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Times New Roman" w:cs="Times New Roman" w:eastAsia="Times New Roman" w:hAnsi="Times New Roman"/>
          <w:sz w:val="16"/>
          <w:szCs w:val="16"/>
          <w:color w:val="auto"/>
        </w:rPr>
      </w:pPr>
    </w:p>
    <w:p>
      <w:pPr>
        <w:jc w:val="both"/>
        <w:ind w:left="560" w:hanging="318"/>
        <w:spacing w:after="0" w:line="198" w:lineRule="exact"/>
        <w:tabs>
          <w:tab w:leader="none" w:pos="55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 and procedures (as defined in Exchange Act Rules 13a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15d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internal control over financial reporting (as defined in Exchange Act Rules 13a-15(f) and 15d-15(f)) for the registrant and have:</w:t>
      </w:r>
    </w:p>
    <w:p>
      <w:pPr>
        <w:spacing w:after="0" w:line="84" w:lineRule="exact"/>
        <w:rPr>
          <w:rFonts w:ascii="Times New Roman" w:cs="Times New Roman" w:eastAsia="Times New Roman" w:hAnsi="Times New Roman"/>
          <w:sz w:val="16"/>
          <w:szCs w:val="16"/>
          <w:color w:val="auto"/>
        </w:rPr>
      </w:pPr>
    </w:p>
    <w:p>
      <w:pPr>
        <w:jc w:val="both"/>
        <w:ind w:left="880" w:hanging="320"/>
        <w:spacing w:after="0" w:line="266" w:lineRule="auto"/>
        <w:tabs>
          <w:tab w:leader="none" w:pos="883"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6"/>
          <w:szCs w:val="16"/>
          <w:color w:val="auto"/>
        </w:rPr>
      </w:pPr>
    </w:p>
    <w:p>
      <w:pPr>
        <w:jc w:val="both"/>
        <w:ind w:left="880" w:hanging="320"/>
        <w:spacing w:after="0" w:line="266" w:lineRule="auto"/>
        <w:tabs>
          <w:tab w:leader="none" w:pos="906"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Times New Roman" w:cs="Times New Roman" w:eastAsia="Times New Roman" w:hAnsi="Times New Roman"/>
          <w:sz w:val="16"/>
          <w:szCs w:val="16"/>
          <w:color w:val="auto"/>
        </w:rPr>
      </w:pPr>
    </w:p>
    <w:p>
      <w:pPr>
        <w:ind w:left="880" w:hanging="320"/>
        <w:spacing w:after="0" w:line="290" w:lineRule="auto"/>
        <w:tabs>
          <w:tab w:leader="none" w:pos="868"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6"/>
          <w:szCs w:val="16"/>
          <w:color w:val="auto"/>
        </w:rPr>
      </w:pPr>
    </w:p>
    <w:p>
      <w:pPr>
        <w:jc w:val="both"/>
        <w:ind w:left="880" w:hanging="320"/>
        <w:spacing w:after="0" w:line="266" w:lineRule="auto"/>
        <w:tabs>
          <w:tab w:leader="none" w:pos="866"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6"/>
          <w:szCs w:val="16"/>
          <w:color w:val="auto"/>
        </w:rPr>
      </w:pPr>
    </w:p>
    <w:p>
      <w:pPr>
        <w:ind w:left="560" w:hanging="318"/>
        <w:spacing w:after="0" w:line="290" w:lineRule="auto"/>
        <w:tabs>
          <w:tab w:leader="none" w:pos="525"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Times New Roman" w:cs="Times New Roman" w:eastAsia="Times New Roman" w:hAnsi="Times New Roman"/>
          <w:sz w:val="16"/>
          <w:szCs w:val="16"/>
          <w:color w:val="auto"/>
        </w:rPr>
      </w:pPr>
    </w:p>
    <w:p>
      <w:pPr>
        <w:ind w:left="880" w:hanging="320"/>
        <w:spacing w:after="0" w:line="272" w:lineRule="auto"/>
        <w:tabs>
          <w:tab w:leader="none" w:pos="889"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6"/>
          <w:szCs w:val="16"/>
          <w:color w:val="auto"/>
        </w:rPr>
      </w:pPr>
    </w:p>
    <w:p>
      <w:pPr>
        <w:ind w:left="880" w:hanging="320"/>
        <w:spacing w:after="0" w:line="272" w:lineRule="auto"/>
        <w:tabs>
          <w:tab w:leader="none" w:pos="926"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November 2, 2026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Steven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18415</wp:posOffset>
            </wp:positionV>
            <wp:extent cx="28524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52420" cy="825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Steven Roth</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Vornado Realty Trust, sole General Partner of Vornado Realty L.P.</w:t>
      </w:r>
    </w:p>
    <w:p>
      <w:pPr>
        <w:sectPr>
          <w:pgSz w:w="11900" w:h="16838" w:orient="portrait"/>
          <w:cols w:equalWidth="0" w:num="1">
            <w:col w:w="10840"/>
          </w:cols>
          <w:pgMar w:left="720" w:top="755"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32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 Michael J. Franco, certify that:</w:t>
      </w:r>
    </w:p>
    <w:p>
      <w:pPr>
        <w:spacing w:after="0" w:line="227" w:lineRule="exact"/>
        <w:rPr>
          <w:sz w:val="20"/>
          <w:szCs w:val="20"/>
          <w:color w:val="auto"/>
        </w:rPr>
      </w:pPr>
    </w:p>
    <w:p>
      <w:pPr>
        <w:ind w:left="520" w:hanging="278"/>
        <w:spacing w:after="0"/>
        <w:tabs>
          <w:tab w:leader="none" w:pos="5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Vornado Realty L.P.;</w:t>
      </w:r>
    </w:p>
    <w:p>
      <w:pPr>
        <w:spacing w:after="0" w:line="107" w:lineRule="exact"/>
        <w:rPr>
          <w:rFonts w:ascii="Times New Roman" w:cs="Times New Roman" w:eastAsia="Times New Roman" w:hAnsi="Times New Roman"/>
          <w:sz w:val="16"/>
          <w:szCs w:val="16"/>
          <w:color w:val="auto"/>
        </w:rPr>
      </w:pPr>
    </w:p>
    <w:p>
      <w:pPr>
        <w:ind w:left="560" w:hanging="318"/>
        <w:spacing w:after="0" w:line="290" w:lineRule="auto"/>
        <w:tabs>
          <w:tab w:leader="none" w:pos="566"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Times New Roman" w:cs="Times New Roman" w:eastAsia="Times New Roman" w:hAnsi="Times New Roman"/>
          <w:sz w:val="16"/>
          <w:szCs w:val="16"/>
          <w:color w:val="auto"/>
        </w:rPr>
      </w:pPr>
    </w:p>
    <w:p>
      <w:pPr>
        <w:ind w:left="560" w:hanging="318"/>
        <w:spacing w:after="0" w:line="272" w:lineRule="auto"/>
        <w:tabs>
          <w:tab w:leader="none" w:pos="588"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Times New Roman" w:cs="Times New Roman" w:eastAsia="Times New Roman" w:hAnsi="Times New Roman"/>
          <w:sz w:val="16"/>
          <w:szCs w:val="16"/>
          <w:color w:val="auto"/>
        </w:rPr>
      </w:pPr>
    </w:p>
    <w:p>
      <w:pPr>
        <w:jc w:val="both"/>
        <w:ind w:left="560" w:hanging="318"/>
        <w:spacing w:after="0" w:line="198" w:lineRule="exact"/>
        <w:tabs>
          <w:tab w:leader="none" w:pos="551"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 and procedures (as defined in Exchange Act Rules 13a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15d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internal control over financial reporting (as defined in Exchange Act Rules 13a-15(f) and 15d-15(f)) for the registrant and have:</w:t>
      </w:r>
    </w:p>
    <w:p>
      <w:pPr>
        <w:spacing w:after="0" w:line="84" w:lineRule="exact"/>
        <w:rPr>
          <w:rFonts w:ascii="Times New Roman" w:cs="Times New Roman" w:eastAsia="Times New Roman" w:hAnsi="Times New Roman"/>
          <w:sz w:val="16"/>
          <w:szCs w:val="16"/>
          <w:color w:val="auto"/>
        </w:rPr>
      </w:pPr>
    </w:p>
    <w:p>
      <w:pPr>
        <w:jc w:val="both"/>
        <w:ind w:left="880" w:hanging="320"/>
        <w:spacing w:after="0" w:line="266" w:lineRule="auto"/>
        <w:tabs>
          <w:tab w:leader="none" w:pos="883"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6"/>
          <w:szCs w:val="16"/>
          <w:color w:val="auto"/>
        </w:rPr>
      </w:pPr>
    </w:p>
    <w:p>
      <w:pPr>
        <w:jc w:val="both"/>
        <w:ind w:left="880" w:hanging="320"/>
        <w:spacing w:after="0" w:line="266" w:lineRule="auto"/>
        <w:tabs>
          <w:tab w:leader="none" w:pos="906"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Times New Roman" w:cs="Times New Roman" w:eastAsia="Times New Roman" w:hAnsi="Times New Roman"/>
          <w:sz w:val="16"/>
          <w:szCs w:val="16"/>
          <w:color w:val="auto"/>
        </w:rPr>
      </w:pPr>
    </w:p>
    <w:p>
      <w:pPr>
        <w:ind w:left="880" w:hanging="320"/>
        <w:spacing w:after="0" w:line="290" w:lineRule="auto"/>
        <w:tabs>
          <w:tab w:leader="none" w:pos="868"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6"/>
          <w:szCs w:val="16"/>
          <w:color w:val="auto"/>
        </w:rPr>
      </w:pPr>
    </w:p>
    <w:p>
      <w:pPr>
        <w:jc w:val="both"/>
        <w:ind w:left="880" w:hanging="320"/>
        <w:spacing w:after="0" w:line="266" w:lineRule="auto"/>
        <w:tabs>
          <w:tab w:leader="none" w:pos="866"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6"/>
          <w:szCs w:val="16"/>
          <w:color w:val="auto"/>
        </w:rPr>
      </w:pPr>
    </w:p>
    <w:p>
      <w:pPr>
        <w:ind w:left="560" w:hanging="318"/>
        <w:spacing w:after="0" w:line="290" w:lineRule="auto"/>
        <w:tabs>
          <w:tab w:leader="none" w:pos="525"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Times New Roman" w:cs="Times New Roman" w:eastAsia="Times New Roman" w:hAnsi="Times New Roman"/>
          <w:sz w:val="16"/>
          <w:szCs w:val="16"/>
          <w:color w:val="auto"/>
        </w:rPr>
      </w:pPr>
    </w:p>
    <w:p>
      <w:pPr>
        <w:ind w:left="880" w:hanging="320"/>
        <w:spacing w:after="0" w:line="272" w:lineRule="auto"/>
        <w:tabs>
          <w:tab w:leader="none" w:pos="889"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6"/>
          <w:szCs w:val="16"/>
          <w:color w:val="auto"/>
        </w:rPr>
      </w:pPr>
    </w:p>
    <w:p>
      <w:pPr>
        <w:ind w:left="880" w:hanging="320"/>
        <w:spacing w:after="0" w:line="272" w:lineRule="auto"/>
        <w:tabs>
          <w:tab w:leader="none" w:pos="926"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November 2, 2026</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 Michael J. Franco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43180</wp:posOffset>
            </wp:positionV>
            <wp:extent cx="32137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13735" cy="8255"/>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Michael J. Franco</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President and Chief Financial Officer of Vornado Realty</w:t>
      </w:r>
    </w:p>
    <w:p>
      <w:pPr>
        <w:ind w:left="40"/>
        <w:spacing w:after="0"/>
        <w:rPr>
          <w:sz w:val="20"/>
          <w:szCs w:val="20"/>
          <w:color w:val="auto"/>
        </w:rPr>
      </w:pPr>
      <w:r>
        <w:rPr>
          <w:rFonts w:ascii="Times New Roman" w:cs="Times New Roman" w:eastAsia="Times New Roman" w:hAnsi="Times New Roman"/>
          <w:sz w:val="16"/>
          <w:szCs w:val="16"/>
          <w:color w:val="auto"/>
        </w:rPr>
        <w:t>Trust, sole General Partner of Vornado Realty L.P.</w:t>
      </w:r>
    </w:p>
    <w:p>
      <w:pPr>
        <w:sectPr>
          <w:pgSz w:w="11900" w:h="16838" w:orient="portrait"/>
          <w:cols w:equalWidth="0" w:num="1">
            <w:col w:w="10840"/>
          </w:cols>
          <w:pgMar w:left="720" w:top="755"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(Subsection (a) and (b) of Section 1350 of Chapter 63 of Title 18 of the United States Code)</w:t>
      </w:r>
    </w:p>
    <w:p>
      <w:pPr>
        <w:spacing w:after="0" w:line="200" w:lineRule="exact"/>
        <w:rPr>
          <w:sz w:val="20"/>
          <w:szCs w:val="20"/>
          <w:color w:val="auto"/>
        </w:rPr>
      </w:pPr>
    </w:p>
    <w:p>
      <w:pPr>
        <w:spacing w:after="0" w:line="323"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6"/>
          <w:szCs w:val="16"/>
          <w:color w:val="auto"/>
        </w:rPr>
        <w:t>Pursuant to Section 906 of the Sarbanes-Oxley Act of 2002 (subsections (a) and (b) of Section 1350 of Chapter 63 of Title 18 of the United States Code), the undersigned officer of Vornado Realty Trust (the “Company”), hereby certifies, to such officer’s knowledge, that:</w:t>
      </w:r>
    </w:p>
    <w:p>
      <w:pPr>
        <w:spacing w:after="0" w:line="178"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6"/>
          <w:szCs w:val="16"/>
          <w:color w:val="auto"/>
        </w:rPr>
        <w:t>The Quarterly Report on Form 10-Q for the quarter ended September 30, 2026 (the “Report”) of the Company fully complies with the requirements of Section 13(a) or 15(d) of the Securities Exchange Act of 1934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8" w:lineRule="exact"/>
        <w:rPr>
          <w:sz w:val="20"/>
          <w:szCs w:val="20"/>
          <w:color w:val="auto"/>
        </w:rPr>
      </w:pPr>
    </w:p>
    <w:p>
      <w:pPr>
        <w:ind w:left="980"/>
        <w:spacing w:after="0"/>
        <w:tabs>
          <w:tab w:leader="none" w:pos="6640" w:val="left"/>
        </w:tabs>
        <w:rPr>
          <w:sz w:val="20"/>
          <w:szCs w:val="20"/>
          <w:color w:val="auto"/>
        </w:rPr>
      </w:pPr>
      <w:r>
        <w:rPr>
          <w:rFonts w:ascii="Times New Roman" w:cs="Times New Roman" w:eastAsia="Times New Roman" w:hAnsi="Times New Roman"/>
          <w:sz w:val="16"/>
          <w:szCs w:val="16"/>
          <w:color w:val="auto"/>
        </w:rPr>
        <w:t>November 2, 2026</w:t>
      </w:r>
      <w:r>
        <w:rPr>
          <w:sz w:val="20"/>
          <w:szCs w:val="20"/>
          <w:color w:val="auto"/>
        </w:rPr>
        <w:tab/>
      </w:r>
      <w:r>
        <w:rPr>
          <w:rFonts w:ascii="Times New Roman" w:cs="Times New Roman" w:eastAsia="Times New Roman" w:hAnsi="Times New Roman"/>
          <w:sz w:val="16"/>
          <w:szCs w:val="16"/>
          <w:color w:val="auto"/>
        </w:rPr>
        <w:t>/s/ Steven Roth</w:t>
      </w:r>
    </w:p>
    <w:p>
      <w:pPr>
        <w:spacing w:after="0" w:line="28" w:lineRule="exact"/>
        <w:rPr>
          <w:sz w:val="20"/>
          <w:szCs w:val="20"/>
          <w:color w:val="auto"/>
        </w:rPr>
      </w:pPr>
    </w:p>
    <w:p>
      <w:pPr>
        <w:ind w:left="5960"/>
        <w:spacing w:after="0"/>
        <w:tabs>
          <w:tab w:leader="none" w:pos="66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Steven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4218940</wp:posOffset>
            </wp:positionH>
            <wp:positionV relativeFrom="paragraph">
              <wp:posOffset>-115570</wp:posOffset>
            </wp:positionV>
            <wp:extent cx="29819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981960" cy="8255"/>
                    </a:xfrm>
                    <a:prstGeom prst="rect">
                      <a:avLst/>
                    </a:prstGeom>
                    <a:noFill/>
                  </pic:spPr>
                </pic:pic>
              </a:graphicData>
            </a:graphic>
          </wp:anchor>
        </w:drawing>
      </w:r>
    </w:p>
    <w:p>
      <w:pPr>
        <w:spacing w:after="0" w:line="21" w:lineRule="exact"/>
        <w:rPr>
          <w:sz w:val="20"/>
          <w:szCs w:val="20"/>
          <w:color w:val="auto"/>
        </w:rPr>
      </w:pPr>
    </w:p>
    <w:p>
      <w:pPr>
        <w:ind w:left="5960"/>
        <w:spacing w:after="0"/>
        <w:tabs>
          <w:tab w:leader="none" w:pos="664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Chairman of the Board and Chief Executive Officer</w:t>
      </w:r>
    </w:p>
    <w:p>
      <w:pPr>
        <w:sectPr>
          <w:pgSz w:w="11900" w:h="16838" w:orient="portrait"/>
          <w:cols w:equalWidth="0" w:num="1">
            <w:col w:w="11240"/>
          </w:cols>
          <w:pgMar w:left="320" w:top="874" w:right="339" w:bottom="1440" w:gutter="0" w:footer="0" w:header="0"/>
        </w:sectPr>
      </w:pPr>
    </w:p>
    <w:bookmarkStart w:id="79" w:name="page80"/>
    <w:bookmarkEnd w:id="79"/>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(Subsection (a) and (b) of Section 1350 of Chapter 63 of Title 18 of the United States Code)</w:t>
      </w:r>
    </w:p>
    <w:p>
      <w:pPr>
        <w:spacing w:after="0" w:line="200" w:lineRule="exact"/>
        <w:rPr>
          <w:sz w:val="20"/>
          <w:szCs w:val="20"/>
          <w:color w:val="auto"/>
        </w:rPr>
      </w:pPr>
    </w:p>
    <w:p>
      <w:pPr>
        <w:spacing w:after="0" w:line="323" w:lineRule="exact"/>
        <w:rPr>
          <w:sz w:val="20"/>
          <w:szCs w:val="20"/>
          <w:color w:val="auto"/>
        </w:rPr>
      </w:pPr>
    </w:p>
    <w:p>
      <w:pPr>
        <w:jc w:val="both"/>
        <w:ind w:right="100" w:firstLine="318"/>
        <w:spacing w:after="0" w:line="290" w:lineRule="auto"/>
        <w:rPr>
          <w:sz w:val="20"/>
          <w:szCs w:val="20"/>
          <w:color w:val="auto"/>
        </w:rPr>
      </w:pPr>
      <w:r>
        <w:rPr>
          <w:rFonts w:ascii="Times New Roman" w:cs="Times New Roman" w:eastAsia="Times New Roman" w:hAnsi="Times New Roman"/>
          <w:sz w:val="16"/>
          <w:szCs w:val="16"/>
          <w:color w:val="auto"/>
        </w:rPr>
        <w:t>Pursuant to Section 906 of the Sarbanes-Oxley Act of 2002 (subsections (a) and (b) of Section 1350 of Chapter 63 of Title 18 of the United States Code), the undersigned officer of Vornado Realty Trust (the “Company”), hereby certifies, to such officer’s knowledge, that:</w:t>
      </w:r>
    </w:p>
    <w:p>
      <w:pPr>
        <w:spacing w:after="0" w:line="178" w:lineRule="exact"/>
        <w:rPr>
          <w:sz w:val="20"/>
          <w:szCs w:val="20"/>
          <w:color w:val="auto"/>
        </w:rPr>
      </w:pPr>
    </w:p>
    <w:p>
      <w:pPr>
        <w:jc w:val="both"/>
        <w:ind w:right="100" w:firstLine="318"/>
        <w:spacing w:after="0" w:line="266" w:lineRule="auto"/>
        <w:rPr>
          <w:sz w:val="20"/>
          <w:szCs w:val="20"/>
          <w:color w:val="auto"/>
        </w:rPr>
      </w:pPr>
      <w:r>
        <w:rPr>
          <w:rFonts w:ascii="Times New Roman" w:cs="Times New Roman" w:eastAsia="Times New Roman" w:hAnsi="Times New Roman"/>
          <w:sz w:val="16"/>
          <w:szCs w:val="16"/>
          <w:color w:val="auto"/>
        </w:rPr>
        <w:t>The Quarterly Report on Form 10-Q for the quarter ended September 30, 2026 (the “Report”) of the Company fully complies with the requirements of Section 13(a) or 15(d) of the Securities Exchange Act of 1934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8" w:lineRule="exact"/>
        <w:rPr>
          <w:sz w:val="20"/>
          <w:szCs w:val="20"/>
          <w:color w:val="auto"/>
        </w:rPr>
      </w:pPr>
    </w:p>
    <w:tbl>
      <w:tblPr>
        <w:tblLayout w:type="fixed"/>
        <w:tblInd w:w="980" w:type="dxa"/>
        <w:tblCellMar>
          <w:top w:w="0" w:type="dxa"/>
          <w:left w:w="0" w:type="dxa"/>
          <w:bottom w:w="0" w:type="dxa"/>
          <w:right w:w="0" w:type="dxa"/>
        </w:tblCellMar>
      </w:tblPr>
      <w:tr>
        <w:trPr>
          <w:trHeight w:val="247"/>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November 2, 2026</w:t>
            </w:r>
          </w:p>
        </w:tc>
        <w:tc>
          <w:tcPr>
            <w:tcW w:w="4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 Michael J. Franco</w:t>
            </w:r>
          </w:p>
        </w:tc>
      </w:tr>
      <w:tr>
        <w:trPr>
          <w:trHeight w:val="206"/>
        </w:trPr>
        <w:tc>
          <w:tcPr>
            <w:tcW w:w="5800" w:type="dxa"/>
            <w:vAlign w:val="bottom"/>
          </w:tcPr>
          <w:p>
            <w:pPr>
              <w:ind w:left="5100"/>
              <w:spacing w:after="0"/>
              <w:rPr>
                <w:sz w:val="20"/>
                <w:szCs w:val="20"/>
                <w:color w:val="auto"/>
              </w:rPr>
            </w:pPr>
            <w:r>
              <w:rPr>
                <w:rFonts w:ascii="Times New Roman" w:cs="Times New Roman" w:eastAsia="Times New Roman" w:hAnsi="Times New Roman"/>
                <w:sz w:val="16"/>
                <w:szCs w:val="16"/>
                <w:color w:val="auto"/>
              </w:rPr>
              <w:t>Name:</w:t>
            </w:r>
          </w:p>
        </w:tc>
        <w:tc>
          <w:tcPr>
            <w:tcW w:w="4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Michael J. Franco</w:t>
            </w:r>
          </w:p>
        </w:tc>
      </w:tr>
      <w:tr>
        <w:trPr>
          <w:trHeight w:val="291"/>
        </w:trPr>
        <w:tc>
          <w:tcPr>
            <w:tcW w:w="5800" w:type="dxa"/>
            <w:vAlign w:val="bottom"/>
          </w:tcPr>
          <w:p>
            <w:pPr>
              <w:ind w:left="5100"/>
              <w:spacing w:after="0"/>
              <w:rPr>
                <w:sz w:val="20"/>
                <w:szCs w:val="20"/>
                <w:color w:val="auto"/>
              </w:rPr>
            </w:pPr>
            <w:r>
              <w:rPr>
                <w:rFonts w:ascii="Times New Roman" w:cs="Times New Roman" w:eastAsia="Times New Roman" w:hAnsi="Times New Roman"/>
                <w:sz w:val="16"/>
                <w:szCs w:val="16"/>
                <w:color w:val="auto"/>
              </w:rPr>
              <w:t>Title:</w:t>
            </w:r>
          </w:p>
        </w:tc>
        <w:tc>
          <w:tcPr>
            <w:tcW w:w="4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President and Chief Financial Officer</w:t>
            </w:r>
          </w:p>
        </w:tc>
      </w:tr>
    </w:tbl>
    <w:p>
      <w:pPr>
        <w:sectPr>
          <w:pgSz w:w="11900" w:h="16838" w:orient="portrait"/>
          <w:cols w:equalWidth="0" w:num="1">
            <w:col w:w="11340"/>
          </w:cols>
          <w:pgMar w:left="320" w:top="874" w:right="2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(Subsection (a) and (b) of Section 1350 of Chapter 63 of Title 18 of the United States Code)</w:t>
      </w:r>
    </w:p>
    <w:p>
      <w:pPr>
        <w:spacing w:after="0" w:line="200" w:lineRule="exact"/>
        <w:rPr>
          <w:sz w:val="20"/>
          <w:szCs w:val="20"/>
          <w:color w:val="auto"/>
        </w:rPr>
      </w:pPr>
    </w:p>
    <w:p>
      <w:pPr>
        <w:spacing w:after="0" w:line="323"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6"/>
          <w:szCs w:val="16"/>
          <w:color w:val="auto"/>
        </w:rPr>
        <w:t>Pursuant to Section 906 of the Sarbanes-Oxley Act of 2002 (subsections (a) and (b) of Section 1350 of Chapter 63 of Title 18 of the United States Code), the undersigned officer of Vornado Realty L.P. (the “Company”), hereby certifies, to such officer’s knowledge, that:</w:t>
      </w:r>
    </w:p>
    <w:p>
      <w:pPr>
        <w:spacing w:after="0" w:line="152"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6"/>
          <w:szCs w:val="16"/>
          <w:color w:val="auto"/>
        </w:rPr>
        <w:t>The Quarterly Report on Form 10-Q for the quarter ended September 30, 2026 (the “Report”) of the Company fully complies with the requirements of Section 13(a) or 15(d) of the Securities Exchange Act of 1934 and the information contained in the Report fairly presents, in all material respects, the financial condition and results of operations of the Company.</w:t>
      </w:r>
    </w:p>
    <w:p>
      <w:pPr>
        <w:spacing w:after="0" w:line="249" w:lineRule="exact"/>
        <w:rPr>
          <w:sz w:val="20"/>
          <w:szCs w:val="20"/>
          <w:color w:val="auto"/>
        </w:rPr>
      </w:pPr>
    </w:p>
    <w:tbl>
      <w:tblPr>
        <w:tblLayout w:type="fixed"/>
        <w:tblInd w:w="780" w:type="dxa"/>
        <w:tblCellMar>
          <w:top w:w="0" w:type="dxa"/>
          <w:left w:w="0" w:type="dxa"/>
          <w:bottom w:w="0" w:type="dxa"/>
          <w:right w:w="0" w:type="dxa"/>
        </w:tblCellMar>
      </w:tblPr>
      <w:tr>
        <w:trPr>
          <w:trHeight w:val="208"/>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November 2, 2026</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Steven Roth</w:t>
            </w:r>
          </w:p>
        </w:tc>
      </w:tr>
      <w:tr>
        <w:trPr>
          <w:trHeight w:val="206"/>
        </w:trPr>
        <w:tc>
          <w:tcPr>
            <w:tcW w:w="4120" w:type="dxa"/>
            <w:vAlign w:val="bottom"/>
          </w:tcPr>
          <w:p>
            <w:pPr>
              <w:ind w:left="3480"/>
              <w:spacing w:after="0"/>
              <w:rPr>
                <w:sz w:val="20"/>
                <w:szCs w:val="20"/>
                <w:color w:val="auto"/>
              </w:rPr>
            </w:pPr>
            <w:r>
              <w:rPr>
                <w:rFonts w:ascii="Times New Roman" w:cs="Times New Roman" w:eastAsia="Times New Roman" w:hAnsi="Times New Roman"/>
                <w:sz w:val="16"/>
                <w:szCs w:val="16"/>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Steven Roth</w:t>
            </w:r>
          </w:p>
        </w:tc>
      </w:tr>
      <w:tr>
        <w:trPr>
          <w:trHeight w:val="163"/>
        </w:trPr>
        <w:tc>
          <w:tcPr>
            <w:tcW w:w="4120" w:type="dxa"/>
            <w:vAlign w:val="bottom"/>
          </w:tcPr>
          <w:p>
            <w:pPr>
              <w:ind w:left="3480"/>
              <w:spacing w:after="0" w:line="164" w:lineRule="exact"/>
              <w:rPr>
                <w:sz w:val="20"/>
                <w:szCs w:val="20"/>
                <w:color w:val="auto"/>
              </w:rPr>
            </w:pPr>
            <w:r>
              <w:rPr>
                <w:rFonts w:ascii="Times New Roman" w:cs="Times New Roman" w:eastAsia="Times New Roman" w:hAnsi="Times New Roman"/>
                <w:sz w:val="16"/>
                <w:szCs w:val="16"/>
                <w:color w:val="auto"/>
              </w:rPr>
              <w:t>Title:</w:t>
            </w:r>
          </w:p>
        </w:tc>
        <w:tc>
          <w:tcPr>
            <w:tcW w:w="4480" w:type="dxa"/>
            <w:vAlign w:val="bottom"/>
          </w:tcPr>
          <w:p>
            <w:pPr>
              <w:ind w:left="20"/>
              <w:spacing w:after="0" w:line="164" w:lineRule="exact"/>
              <w:rPr>
                <w:sz w:val="20"/>
                <w:szCs w:val="20"/>
                <w:color w:val="auto"/>
              </w:rPr>
            </w:pPr>
            <w:r>
              <w:rPr>
                <w:rFonts w:ascii="Times New Roman" w:cs="Times New Roman" w:eastAsia="Times New Roman" w:hAnsi="Times New Roman"/>
                <w:sz w:val="16"/>
                <w:szCs w:val="16"/>
                <w:color w:val="auto"/>
              </w:rPr>
              <w:t>Chairman of the Board and Chief Executive Officer</w:t>
            </w:r>
          </w:p>
        </w:tc>
      </w:tr>
      <w:tr>
        <w:trPr>
          <w:trHeight w:val="159"/>
        </w:trPr>
        <w:tc>
          <w:tcPr>
            <w:tcW w:w="4120" w:type="dxa"/>
            <w:vAlign w:val="bottom"/>
          </w:tcPr>
          <w:p>
            <w:pPr>
              <w:spacing w:after="0"/>
              <w:rPr>
                <w:sz w:val="13"/>
                <w:szCs w:val="13"/>
                <w:color w:val="auto"/>
              </w:rPr>
            </w:pPr>
          </w:p>
        </w:tc>
        <w:tc>
          <w:tcPr>
            <w:tcW w:w="448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of Vornado Realty Trust, sole General Partner of</w:t>
            </w:r>
          </w:p>
        </w:tc>
      </w:tr>
      <w:tr>
        <w:trPr>
          <w:trHeight w:val="208"/>
        </w:trPr>
        <w:tc>
          <w:tcPr>
            <w:tcW w:w="412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Vornado Realty L.P.</w:t>
            </w:r>
          </w:p>
        </w:tc>
      </w:tr>
    </w:tbl>
    <w:p>
      <w:pPr>
        <w:sectPr>
          <w:pgSz w:w="11900" w:h="16838" w:orient="portrait"/>
          <w:cols w:equalWidth="0" w:num="1">
            <w:col w:w="11240"/>
          </w:cols>
          <w:pgMar w:left="320" w:top="755"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32.4</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(Subsection (a) and (b) of Section 1350 of Chapter 63 of Title 18 of the United States Code)</w:t>
      </w:r>
    </w:p>
    <w:p>
      <w:pPr>
        <w:spacing w:after="0" w:line="200" w:lineRule="exact"/>
        <w:rPr>
          <w:sz w:val="20"/>
          <w:szCs w:val="20"/>
          <w:color w:val="auto"/>
        </w:rPr>
      </w:pPr>
    </w:p>
    <w:p>
      <w:pPr>
        <w:spacing w:after="0" w:line="323"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6"/>
          <w:szCs w:val="16"/>
          <w:color w:val="auto"/>
        </w:rPr>
        <w:t>Pursuant to Section 906 of the Sarbanes-Oxley Act of 2002 (subsections (a) and (b) of Section 1350 of Chapter 63 of Title 18 of the United States Code), the undersigned officer of Vornado Realty L.P. (the “Company”), hereby certifies, to such officer’s knowledge, that:</w:t>
      </w:r>
    </w:p>
    <w:p>
      <w:pPr>
        <w:spacing w:after="0" w:line="178"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6"/>
          <w:szCs w:val="16"/>
          <w:color w:val="auto"/>
        </w:rPr>
        <w:t>The Quarterly Report on Form 10-Q for the quarter ended September 30, 2026 (the “Report”) of the Company fully complies with the requirements of Section 13(a) or 15(d) of the Securities Exchange Act of 1934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47"/>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November 2, 2026</w:t>
            </w:r>
          </w:p>
        </w:tc>
        <w:tc>
          <w:tcPr>
            <w:tcW w:w="4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 Michael J. Franco</w:t>
            </w:r>
          </w:p>
        </w:tc>
      </w:tr>
      <w:tr>
        <w:trPr>
          <w:trHeight w:val="206"/>
        </w:trPr>
        <w:tc>
          <w:tcPr>
            <w:tcW w:w="376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Name:</w:t>
            </w:r>
          </w:p>
        </w:tc>
        <w:tc>
          <w:tcPr>
            <w:tcW w:w="4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Michael J. Franco</w:t>
            </w:r>
          </w:p>
        </w:tc>
      </w:tr>
      <w:tr>
        <w:trPr>
          <w:trHeight w:val="203"/>
        </w:trPr>
        <w:tc>
          <w:tcPr>
            <w:tcW w:w="376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Title:</w:t>
            </w:r>
          </w:p>
        </w:tc>
        <w:tc>
          <w:tcPr>
            <w:tcW w:w="4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President and Chief Financial Officer of Vornado Realty</w:t>
            </w:r>
          </w:p>
        </w:tc>
      </w:tr>
      <w:tr>
        <w:trPr>
          <w:trHeight w:val="208"/>
        </w:trPr>
        <w:tc>
          <w:tcPr>
            <w:tcW w:w="3760" w:type="dxa"/>
            <w:vAlign w:val="bottom"/>
          </w:tcPr>
          <w:p>
            <w:pPr>
              <w:spacing w:after="0"/>
              <w:rPr>
                <w:sz w:val="18"/>
                <w:szCs w:val="18"/>
                <w:color w:val="auto"/>
              </w:rPr>
            </w:pPr>
          </w:p>
        </w:tc>
        <w:tc>
          <w:tcPr>
            <w:tcW w:w="4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Trust, sole General Partner of Vornado Realty L.P.</w:t>
            </w:r>
          </w:p>
        </w:tc>
      </w:tr>
    </w:tbl>
    <w:p>
      <w:pPr>
        <w:spacing w:after="0" w:line="1" w:lineRule="exact"/>
        <w:rPr>
          <w:sz w:val="20"/>
          <w:szCs w:val="20"/>
          <w:color w:val="auto"/>
        </w:rPr>
      </w:pPr>
    </w:p>
    <w:sectPr>
      <w:pgSz w:w="11900" w:h="16838" w:orient="portrait"/>
      <w:cols w:equalWidth="0" w:num="1">
        <w:col w:w="11240"/>
      </w:cols>
      <w:pgMar w:left="320" w:top="7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lvl w:ilvl="1">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3"/>
    </w:lvl>
  </w:abstractNum>
  <w:abstractNum w:abstractNumId="4">
    <w:nsid w:val="189A769B"/>
    <w:multiLevelType w:val="hybridMultilevel"/>
    <w:lvl w:ilvl="0">
      <w:lvlJc w:val="left"/>
      <w:lvlText w:val="%1."/>
      <w:numFmt w:val="decimal"/>
      <w:start w:val="5"/>
    </w:lvl>
  </w:abstractNum>
  <w:abstractNum w:abstractNumId="5">
    <w:nsid w:val="54E49EB4"/>
    <w:multiLevelType w:val="hybridMultilevel"/>
    <w:lvl w:ilvl="0">
      <w:lvlJc w:val="left"/>
      <w:lvlText w:val="%1."/>
      <w:numFmt w:val="decimal"/>
      <w:start w:val="5"/>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5"/>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7"/>
    </w:lvl>
  </w:abstractNum>
  <w:abstractNum w:abstractNumId="10">
    <w:nsid w:val="3A95F874"/>
    <w:multiLevelType w:val="hybridMultilevel"/>
    <w:lvl w:ilvl="0">
      <w:lvlJc w:val="left"/>
      <w:lvlText w:val="%1."/>
      <w:numFmt w:val="decimal"/>
      <w:start w:val="9"/>
    </w:lvl>
  </w:abstractNum>
  <w:abstractNum w:abstractNumId="11">
    <w:nsid w:val="8138641"/>
    <w:multiLevelType w:val="hybridMultilevel"/>
    <w:lvl w:ilvl="0">
      <w:lvlJc w:val="left"/>
      <w:lvlText w:val="%1."/>
      <w:numFmt w:val="decimal"/>
      <w:start w:val="9"/>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10"/>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decimal"/>
      <w:start w:val="13"/>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3"/>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14"/>
    </w:lvl>
  </w:abstractNum>
  <w:abstractNum w:abstractNumId="20">
    <w:nsid w:val="419AC241"/>
    <w:multiLevelType w:val="hybridMultilevel"/>
    <w:lvl w:ilvl="0">
      <w:lvlJc w:val="left"/>
      <w:lvlText w:val="%1."/>
      <w:numFmt w:val="decimal"/>
      <w:start w:val="14"/>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4"/>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18"/>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20"/>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lowerLetter"/>
      <w:start w:val="1"/>
    </w:lvl>
  </w:abstractNum>
  <w:abstractNum w:abstractNumId="39">
    <w:nsid w:val="725A06FB"/>
    <w:multiLevelType w:val="hybridMultilevel"/>
    <w:lvl w:ilvl="0">
      <w:lvlJc w:val="left"/>
      <w:lvlText w:val="(%1)"/>
      <w:numFmt w:val="lowerLetter"/>
      <w:start w:val="2"/>
    </w:lvl>
  </w:abstractNum>
  <w:abstractNum w:abstractNumId="40">
    <w:nsid w:val="2CD89A32"/>
    <w:multiLevelType w:val="hybridMultilevel"/>
    <w:lvl w:ilvl="0">
      <w:lvlJc w:val="left"/>
      <w:lvlText w:val="(%1)"/>
      <w:numFmt w:val="lowerLetter"/>
      <w:start w:val="1"/>
    </w:lvl>
  </w:abstractNum>
  <w:abstractNum w:abstractNumId="41">
    <w:nsid w:val="57E4CCAF"/>
    <w:multiLevelType w:val="hybridMultilevel"/>
    <w:lvl w:ilvl="0">
      <w:lvlJc w:val="left"/>
      <w:lvlText w:val="(%1)"/>
      <w:numFmt w:val="lowerLetter"/>
      <w:start w:val="2"/>
    </w:lvl>
  </w:abstractNum>
  <w:abstractNum w:abstractNumId="42">
    <w:nsid w:val="7A6D8D3C"/>
    <w:multiLevelType w:val="hybridMultilevel"/>
    <w:lvl w:ilvl="0">
      <w:lvlJc w:val="left"/>
      <w:lvlText w:val="%1"/>
      <w:numFmt w:val="decimal"/>
      <w:start w:val="101"/>
    </w:lvl>
    <w:lvl w:ilvl="1">
      <w:lvlJc w:val="left"/>
      <w:lvlText w:val="(%2)"/>
      <w:numFmt w:val="lowerRoman"/>
      <w:start w:val="4"/>
    </w:lvl>
  </w:abstractNum>
  <w:abstractNum w:abstractNumId="43">
    <w:nsid w:val="4B588F54"/>
    <w:multiLevelType w:val="hybridMultilevel"/>
    <w:lvl w:ilvl="0">
      <w:lvlJc w:val="left"/>
      <w:lvlText w:val="%1"/>
      <w:numFmt w:val="decimal"/>
      <w:start w:val="104"/>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2026-11-02T15:29:30Z</dcterms:created>
  <dcterms:modified xsi:type="dcterms:W3CDTF">2026-11-02T15:29:30Z</dcterms:modified>
</cp:coreProperties>
</file>