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May 21,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VORNADO REALTY TRUST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Charter)</w:t>
      </w:r>
    </w:p>
    <w:tbl>
      <w:tblPr>
        <w:tblW w:w="6200" w:type="dxa"/>
        <w:jc w:val="left"/>
        <w:tblInd w:w="0" w:type="dxa"/>
        <w:tblLayout w:type="fixed"/>
        <w:tblCellMar>
          <w:top w:w="28" w:type="dxa"/>
          <w:left w:w="28" w:type="dxa"/>
          <w:bottom w:w="28" w:type="dxa"/>
          <w:right w:w="28" w:type="dxa"/>
        </w:tblCellMar>
      </w:tblPr>
      <w:tblGrid>
        <w:gridCol w:w="905"/>
        <w:gridCol w:w="799"/>
        <w:gridCol w:w="800"/>
        <w:gridCol w:w="109"/>
        <w:gridCol w:w="109"/>
        <w:gridCol w:w="109"/>
        <w:gridCol w:w="130"/>
        <w:gridCol w:w="130"/>
        <w:gridCol w:w="131"/>
        <w:gridCol w:w="334"/>
        <w:gridCol w:w="334"/>
        <w:gridCol w:w="336"/>
        <w:gridCol w:w="109"/>
        <w:gridCol w:w="109"/>
        <w:gridCol w:w="109"/>
        <w:gridCol w:w="138"/>
        <w:gridCol w:w="138"/>
        <w:gridCol w:w="139"/>
        <w:gridCol w:w="360"/>
        <w:gridCol w:w="360"/>
        <w:gridCol w:w="512"/>
      </w:tblGrid>
      <w:tr>
        <w:trPr/>
        <w:tc>
          <w:tcPr>
            <w:tcW w:w="90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No.</w:t>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001-11954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No.</w:t>
            </w:r>
          </w:p>
        </w:tc>
        <w:tc>
          <w:tcPr>
            <w:tcW w:w="12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22-1657560</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VORNADO REALTY L.P.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Charter)</w:t>
      </w:r>
    </w:p>
    <w:tbl>
      <w:tblPr>
        <w:tblW w:w="6201" w:type="dxa"/>
        <w:jc w:val="left"/>
        <w:tblInd w:w="0" w:type="dxa"/>
        <w:tblLayout w:type="fixed"/>
        <w:tblCellMar>
          <w:top w:w="28" w:type="dxa"/>
          <w:left w:w="28" w:type="dxa"/>
          <w:bottom w:w="28" w:type="dxa"/>
          <w:right w:w="28" w:type="dxa"/>
        </w:tblCellMar>
      </w:tblPr>
      <w:tblGrid>
        <w:gridCol w:w="907"/>
        <w:gridCol w:w="796"/>
        <w:gridCol w:w="802"/>
        <w:gridCol w:w="109"/>
        <w:gridCol w:w="109"/>
        <w:gridCol w:w="109"/>
        <w:gridCol w:w="130"/>
        <w:gridCol w:w="130"/>
        <w:gridCol w:w="131"/>
        <w:gridCol w:w="334"/>
        <w:gridCol w:w="334"/>
        <w:gridCol w:w="336"/>
        <w:gridCol w:w="109"/>
        <w:gridCol w:w="109"/>
        <w:gridCol w:w="109"/>
        <w:gridCol w:w="138"/>
        <w:gridCol w:w="138"/>
        <w:gridCol w:w="139"/>
        <w:gridCol w:w="360"/>
        <w:gridCol w:w="360"/>
        <w:gridCol w:w="512"/>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No.</w:t>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001-34482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No.</w:t>
            </w:r>
          </w:p>
        </w:tc>
        <w:tc>
          <w:tcPr>
            <w:tcW w:w="12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13-3925979</w:t>
            </w:r>
          </w:p>
        </w:tc>
      </w:tr>
      <w:tr>
        <w:trPr/>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color w:val="000000"/>
        </w:rPr>
      </w:pPr>
      <w:r>
        <w:rPr>
          <w:color w:val="000000"/>
        </w:rPr>
        <w:t> </w:t>
      </w:r>
    </w:p>
    <w:tbl>
      <w:tblPr>
        <w:tblW w:w="4689" w:type="dxa"/>
        <w:jc w:val="center"/>
        <w:tblInd w:w="0" w:type="dxa"/>
        <w:tblLayout w:type="fixed"/>
        <w:tblCellMar>
          <w:top w:w="28" w:type="dxa"/>
          <w:left w:w="28" w:type="dxa"/>
          <w:bottom w:w="28" w:type="dxa"/>
          <w:right w:w="28" w:type="dxa"/>
        </w:tblCellMar>
      </w:tblPr>
      <w:tblGrid>
        <w:gridCol w:w="638"/>
        <w:gridCol w:w="563"/>
        <w:gridCol w:w="563"/>
        <w:gridCol w:w="518"/>
        <w:gridCol w:w="518"/>
        <w:gridCol w:w="527"/>
        <w:gridCol w:w="109"/>
        <w:gridCol w:w="109"/>
        <w:gridCol w:w="109"/>
        <w:gridCol w:w="303"/>
        <w:gridCol w:w="303"/>
        <w:gridCol w:w="429"/>
      </w:tblGrid>
      <w:tr>
        <w:trPr/>
        <w:tc>
          <w:tcPr>
            <w:tcW w:w="63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888 Seventh Avenue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color w:val="000000"/>
                <w:sz w:val="20"/>
              </w:rPr>
              <w:t>New York,</w:t>
            </w:r>
          </w:p>
        </w:tc>
        <w:tc>
          <w:tcPr>
            <w:tcW w:w="15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10019</w:t>
            </w:r>
          </w:p>
        </w:tc>
      </w:tr>
      <w:tr>
        <w:trPr/>
        <w:tc>
          <w:tcPr>
            <w:tcW w:w="332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6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(212) 894-7000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 N/A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45" w:before="6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483"/>
        <w:gridCol w:w="425"/>
        <w:gridCol w:w="428"/>
        <w:gridCol w:w="109"/>
        <w:gridCol w:w="109"/>
        <w:gridCol w:w="109"/>
        <w:gridCol w:w="1548"/>
        <w:gridCol w:w="1325"/>
        <w:gridCol w:w="1332"/>
        <w:gridCol w:w="109"/>
        <w:gridCol w:w="109"/>
        <w:gridCol w:w="109"/>
        <w:gridCol w:w="417"/>
        <w:gridCol w:w="417"/>
        <w:gridCol w:w="419"/>
        <w:gridCol w:w="109"/>
        <w:gridCol w:w="109"/>
        <w:gridCol w:w="109"/>
        <w:gridCol w:w="708"/>
        <w:gridCol w:w="708"/>
        <w:gridCol w:w="1014"/>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Vornado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Common Shares of beneficial interest, $.04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VNO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Cumulative Redeemable Preferred Shares of beneficial interest, liquidation preference $25.00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Vornado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5.40% Series 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VNO/PL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Vornado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5.25% Series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VNO/PM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Vornado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5.25% Series 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VNO/PN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Vornado Realty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4.45% Series 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VNO/PO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345" w:before="8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45" w:before="0" w:after="40"/>
        <w:ind w:left="0" w:right="0" w:firstLine="360"/>
        <w:jc w:val="both"/>
        <w:rPr/>
      </w:pPr>
      <w:r>
        <w:rPr>
          <w:rFonts w:ascii="Times New Roman;serif" w:hAnsi="Times New Roman;serif"/>
          <w:b w:val="false"/>
          <w:color w:val="000000"/>
          <w:sz w:val="18"/>
        </w:rPr>
        <w:t xml:space="preserve">Emerging growth company </w:t>
      </w:r>
      <w:r>
        <w:rPr>
          <w:color w:val="000000"/>
        </w:rPr>
        <w:t>☐</w:t>
      </w:r>
    </w:p>
    <w:p>
      <w:pPr>
        <w:pStyle w:val="TextBody"/>
        <w:bidi w:val="0"/>
        <w:spacing w:lineRule="auto" w:line="345" w:before="0" w:after="40"/>
        <w:ind w:left="0" w:right="0" w:firstLine="36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300" w:after="1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21, 2026, Vornado Realty Trust (the “Company”) held its 2026 Annual Meeting of Shareholders (the “Meeting”). As of March 23, 2026, the record date for shareholders entitled to vote at the Meeting, there were 188,547,756 common shares of beneficial interest, par value $0.04 per share (the “Shares”), outstanding and entitled to vote. Of the Shares entitled to vote at the Meeting, 178,437,939, or approximately 95% of the Shares, were present or represented by proxy. There were four matters presented and voted on. Set forth below is a brief description of each matter voted on, the voting results with respect to each such matter and other required information.</w:t>
      </w:r>
    </w:p>
    <w:p>
      <w:pPr>
        <w:pStyle w:val="TextBody"/>
        <w:bidi w:val="0"/>
        <w:spacing w:before="0" w:after="6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color w:val="000000"/>
          <w:sz w:val="20"/>
        </w:rPr>
      </w:pPr>
      <w:r>
        <w:rPr>
          <w:rFonts w:ascii="Times New Roman;serif" w:hAnsi="Times New Roman;serif"/>
          <w:b/>
          <w:color w:val="000000"/>
          <w:sz w:val="20"/>
        </w:rPr>
        <w:t>Proposal 1 – Election of 10 nominees to serve on the Board of Trustees for a one-year term expiring at the 2027 annual meeting of shareholders of the Company and until their respective successors are duly elected and qualified.</w:t>
      </w:r>
    </w:p>
    <w:tbl>
      <w:tblPr>
        <w:tblW w:w="7390" w:type="dxa"/>
        <w:jc w:val="center"/>
        <w:tblInd w:w="0" w:type="dxa"/>
        <w:tblLayout w:type="fixed"/>
        <w:tblCellMar>
          <w:top w:w="28" w:type="dxa"/>
          <w:left w:w="28" w:type="dxa"/>
          <w:bottom w:w="28" w:type="dxa"/>
          <w:right w:w="28" w:type="dxa"/>
        </w:tblCellMar>
      </w:tblPr>
      <w:tblGrid>
        <w:gridCol w:w="727"/>
        <w:gridCol w:w="640"/>
        <w:gridCol w:w="643"/>
        <w:gridCol w:w="109"/>
        <w:gridCol w:w="109"/>
        <w:gridCol w:w="109"/>
        <w:gridCol w:w="593"/>
        <w:gridCol w:w="593"/>
        <w:gridCol w:w="156"/>
        <w:gridCol w:w="109"/>
        <w:gridCol w:w="109"/>
        <w:gridCol w:w="109"/>
        <w:gridCol w:w="540"/>
        <w:gridCol w:w="541"/>
        <w:gridCol w:w="296"/>
        <w:gridCol w:w="109"/>
        <w:gridCol w:w="109"/>
        <w:gridCol w:w="109"/>
        <w:gridCol w:w="492"/>
        <w:gridCol w:w="492"/>
        <w:gridCol w:w="696"/>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Roth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163,395,558 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6,126,620 </w:t>
            </w:r>
          </w:p>
        </w:tc>
        <w:tc>
          <w:tcPr>
            <w:tcW w:w="2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8,915,761 </w:t>
            </w:r>
          </w:p>
        </w:tc>
        <w:tc>
          <w:tcPr>
            <w:tcW w:w="6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Candace K. Beinecke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149,968,051 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19,554,127 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8,915,761 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D. Fascitelli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163,925,263 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5,596,915 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8,915,761 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Beatrice Hamza Bassey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166,187,024 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3,335,154 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8,915,761 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W. Helman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164,267,365 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5,254,813 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8,915,761 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M. Mandelbaum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157,092,844 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12,429,334 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8,915,761 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Raymond J. McGuire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166,432,860 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3,089,318 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8,915,761 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Mandakini Puri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164,787,611 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4,734,567 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8,915,761 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R. Tisch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163,079,718 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6,442,460 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8,915,761 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 Wight,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163,627,525 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5,894,653 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8,915,761 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360"/>
        <w:jc w:val="both"/>
        <w:rPr>
          <w:rFonts w:ascii="Times New Roman;serif" w:hAnsi="Times New Roman;serif"/>
          <w:b/>
          <w:color w:val="000000"/>
          <w:sz w:val="20"/>
        </w:rPr>
      </w:pPr>
      <w:r>
        <w:rPr>
          <w:rFonts w:ascii="Times New Roman;serif" w:hAnsi="Times New Roman;serif"/>
          <w:b/>
          <w:color w:val="000000"/>
          <w:sz w:val="20"/>
        </w:rPr>
        <w:t>Proposal 2 – Ratification of Deloitte &amp; Touche LLP as the Company’s independent registered public accounting firm for the fiscal year 2026.</w:t>
      </w:r>
    </w:p>
    <w:tbl>
      <w:tblPr>
        <w:tblW w:w="5680" w:type="dxa"/>
        <w:jc w:val="center"/>
        <w:tblInd w:w="0" w:type="dxa"/>
        <w:tblLayout w:type="fixed"/>
        <w:tblCellMar>
          <w:top w:w="28" w:type="dxa"/>
          <w:left w:w="28" w:type="dxa"/>
          <w:bottom w:w="28" w:type="dxa"/>
          <w:right w:w="28" w:type="dxa"/>
        </w:tblCellMar>
      </w:tblPr>
      <w:tblGrid>
        <w:gridCol w:w="358"/>
        <w:gridCol w:w="314"/>
        <w:gridCol w:w="317"/>
        <w:gridCol w:w="109"/>
        <w:gridCol w:w="109"/>
        <w:gridCol w:w="109"/>
        <w:gridCol w:w="593"/>
        <w:gridCol w:w="593"/>
        <w:gridCol w:w="141"/>
        <w:gridCol w:w="109"/>
        <w:gridCol w:w="109"/>
        <w:gridCol w:w="109"/>
        <w:gridCol w:w="488"/>
        <w:gridCol w:w="488"/>
        <w:gridCol w:w="251"/>
        <w:gridCol w:w="109"/>
        <w:gridCol w:w="109"/>
        <w:gridCol w:w="109"/>
        <w:gridCol w:w="413"/>
        <w:gridCol w:w="413"/>
        <w:gridCol w:w="330"/>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Votes 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171,255,731 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6,538,657 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643,551 </w:t>
            </w:r>
          </w:p>
        </w:tc>
        <w:tc>
          <w:tcPr>
            <w:tcW w:w="3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360"/>
        <w:jc w:val="both"/>
        <w:rPr>
          <w:rFonts w:ascii="Times New Roman;serif" w:hAnsi="Times New Roman;serif"/>
          <w:b/>
          <w:color w:val="000000"/>
          <w:sz w:val="20"/>
        </w:rPr>
      </w:pPr>
      <w:r>
        <w:rPr>
          <w:rFonts w:ascii="Times New Roman;serif" w:hAnsi="Times New Roman;serif"/>
          <w:b/>
          <w:color w:val="000000"/>
          <w:sz w:val="20"/>
        </w:rPr>
        <w:t>Proposal 3 – Non-binding, advisory resolution on executive compensation.</w:t>
      </w:r>
    </w:p>
    <w:tbl>
      <w:tblPr>
        <w:tblW w:w="7758" w:type="dxa"/>
        <w:jc w:val="center"/>
        <w:tblInd w:w="0" w:type="dxa"/>
        <w:tblLayout w:type="fixed"/>
        <w:tblCellMar>
          <w:top w:w="28" w:type="dxa"/>
          <w:left w:w="28" w:type="dxa"/>
          <w:bottom w:w="28" w:type="dxa"/>
          <w:right w:w="28" w:type="dxa"/>
        </w:tblCellMar>
      </w:tblPr>
      <w:tblGrid>
        <w:gridCol w:w="358"/>
        <w:gridCol w:w="314"/>
        <w:gridCol w:w="317"/>
        <w:gridCol w:w="109"/>
        <w:gridCol w:w="109"/>
        <w:gridCol w:w="109"/>
        <w:gridCol w:w="593"/>
        <w:gridCol w:w="593"/>
        <w:gridCol w:w="141"/>
        <w:gridCol w:w="109"/>
        <w:gridCol w:w="109"/>
        <w:gridCol w:w="109"/>
        <w:gridCol w:w="488"/>
        <w:gridCol w:w="488"/>
        <w:gridCol w:w="251"/>
        <w:gridCol w:w="109"/>
        <w:gridCol w:w="109"/>
        <w:gridCol w:w="109"/>
        <w:gridCol w:w="488"/>
        <w:gridCol w:w="488"/>
        <w:gridCol w:w="251"/>
        <w:gridCol w:w="109"/>
        <w:gridCol w:w="109"/>
        <w:gridCol w:w="109"/>
        <w:gridCol w:w="492"/>
        <w:gridCol w:w="492"/>
        <w:gridCol w:w="696"/>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Votes 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162,217,503 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5,799,240 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1,505,435 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8,915,761 </w:t>
            </w:r>
          </w:p>
        </w:tc>
        <w:tc>
          <w:tcPr>
            <w:tcW w:w="6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lineRule="auto" w:line="288" w:before="0" w:after="120"/>
        <w:ind w:left="0" w:right="0" w:firstLine="360"/>
        <w:jc w:val="both"/>
        <w:rPr>
          <w:rFonts w:ascii="Times New Roman;serif" w:hAnsi="Times New Roman;serif"/>
          <w:b/>
          <w:color w:val="000000"/>
          <w:sz w:val="20"/>
        </w:rPr>
      </w:pPr>
      <w:r>
        <w:rPr>
          <w:rFonts w:ascii="Times New Roman;serif" w:hAnsi="Times New Roman;serif"/>
          <w:b/>
          <w:color w:val="000000"/>
          <w:sz w:val="20"/>
        </w:rPr>
        <w:t>Proposal 4 – Approval of the Company's 2026 Omnibus Share Plan.</w:t>
      </w:r>
    </w:p>
    <w:tbl>
      <w:tblPr>
        <w:tblW w:w="7713" w:type="dxa"/>
        <w:jc w:val="center"/>
        <w:tblInd w:w="0" w:type="dxa"/>
        <w:tblLayout w:type="fixed"/>
        <w:tblCellMar>
          <w:top w:w="28" w:type="dxa"/>
          <w:left w:w="28" w:type="dxa"/>
          <w:bottom w:w="28" w:type="dxa"/>
          <w:right w:w="28" w:type="dxa"/>
        </w:tblCellMar>
      </w:tblPr>
      <w:tblGrid>
        <w:gridCol w:w="358"/>
        <w:gridCol w:w="314"/>
        <w:gridCol w:w="317"/>
        <w:gridCol w:w="109"/>
        <w:gridCol w:w="109"/>
        <w:gridCol w:w="109"/>
        <w:gridCol w:w="593"/>
        <w:gridCol w:w="593"/>
        <w:gridCol w:w="141"/>
        <w:gridCol w:w="109"/>
        <w:gridCol w:w="109"/>
        <w:gridCol w:w="109"/>
        <w:gridCol w:w="540"/>
        <w:gridCol w:w="541"/>
        <w:gridCol w:w="251"/>
        <w:gridCol w:w="109"/>
        <w:gridCol w:w="109"/>
        <w:gridCol w:w="109"/>
        <w:gridCol w:w="413"/>
        <w:gridCol w:w="413"/>
        <w:gridCol w:w="251"/>
        <w:gridCol w:w="109"/>
        <w:gridCol w:w="109"/>
        <w:gridCol w:w="109"/>
        <w:gridCol w:w="492"/>
        <w:gridCol w:w="492"/>
        <w:gridCol w:w="696"/>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Votes 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131,158,558 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37,591,996 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771,624 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8,915,761 </w:t>
            </w:r>
          </w:p>
        </w:tc>
        <w:tc>
          <w:tcPr>
            <w:tcW w:w="6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360"/>
        <w:jc w:val="center"/>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pPr>
      <w:r>
        <w:rPr/>
      </w:r>
    </w:p>
    <w:p>
      <w:pPr>
        <w:pStyle w:val="TextBody"/>
        <w:bidi w:val="0"/>
        <w:spacing w:lineRule="auto" w:line="288" w:before="0" w:after="240"/>
        <w:jc w:val="center"/>
        <w:rPr/>
      </w:pPr>
      <w:r>
        <w:rPr>
          <w:rFonts w:ascii="Times New Roman;serif" w:hAnsi="Times New Roman;serif"/>
          <w:b/>
          <w:color w:val="000000"/>
          <w:sz w:val="20"/>
        </w:rPr>
        <w:t>SIGNATURE</w:t>
      </w:r>
      <w:r>
        <w:rPr>
          <w:color w:val="000000"/>
        </w:rPr>
        <w:t>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472" w:type="dxa"/>
        <w:jc w:val="left"/>
        <w:tblInd w:w="0" w:type="dxa"/>
        <w:tblLayout w:type="fixed"/>
        <w:tblCellMar>
          <w:top w:w="28" w:type="dxa"/>
          <w:left w:w="28" w:type="dxa"/>
          <w:bottom w:w="28" w:type="dxa"/>
          <w:right w:w="28" w:type="dxa"/>
        </w:tblCellMar>
      </w:tblPr>
      <w:tblGrid>
        <w:gridCol w:w="124"/>
        <w:gridCol w:w="109"/>
        <w:gridCol w:w="109"/>
        <w:gridCol w:w="415"/>
        <w:gridCol w:w="415"/>
        <w:gridCol w:w="415"/>
        <w:gridCol w:w="2004"/>
        <w:gridCol w:w="2004"/>
        <w:gridCol w:w="28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13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VORNADO REALTY TRUST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Deirdre Maddock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Deirdre Maddock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 (duly authorized officer and principal accounting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May 22, 2026</w:t>
      </w:r>
    </w:p>
    <w:p>
      <w:pPr>
        <w:pStyle w:val="TextBody"/>
        <w:bidi w:val="0"/>
        <w:spacing w:lineRule="auto" w:line="288" w:before="0" w:after="240"/>
        <w:jc w:val="left"/>
        <w:rPr>
          <w:color w:val="000000"/>
        </w:rPr>
      </w:pPr>
      <w:r>
        <w:rPr>
          <w:color w:val="000000"/>
        </w:rPr>
        <w:t> </w:t>
      </w:r>
    </w:p>
    <w:p>
      <w:pPr>
        <w:pStyle w:val="TextBody"/>
        <w:bidi w:val="0"/>
        <w:spacing w:lineRule="auto" w:line="288" w:before="0" w:after="4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1"/>
        <w:gridCol w:w="307"/>
        <w:gridCol w:w="307"/>
        <w:gridCol w:w="2618"/>
        <w:gridCol w:w="2613"/>
        <w:gridCol w:w="36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VORNADO REALTY L.P.</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VORNADO REALTY TRUST,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Sole 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Deirdre Maddock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Deirdre Maddock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 of Vornado Realty Trust, sole General Partner of Vornado Realty L.P. (duly authorized officer and principal accounting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Date: May 22, 2026 </w:t>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825</Words>
  <Characters>4718</Characters>
  <CharactersWithSpaces>5461</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